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9A3834" w14:textId="77777777" w:rsidR="00DC6358" w:rsidRDefault="00DC6358" w:rsidP="00DC6358">
      <w:pPr>
        <w:pStyle w:val="BodyText"/>
        <w:spacing w:before="4"/>
        <w:rPr>
          <w:b/>
          <w:sz w:val="7"/>
        </w:rPr>
      </w:pPr>
    </w:p>
    <w:p w14:paraId="44D4D87B" w14:textId="414E3480" w:rsidR="0082788C" w:rsidRPr="00EB337A" w:rsidRDefault="0082788C" w:rsidP="0082788C">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8bis</w:t>
      </w:r>
      <w:r w:rsidRPr="00EB337A">
        <w:rPr>
          <w:rFonts w:cs="Arial"/>
          <w:b/>
          <w:noProof/>
          <w:sz w:val="24"/>
          <w:szCs w:val="24"/>
          <w:lang w:val="en-US"/>
        </w:rPr>
        <w:t>-e</w:t>
      </w:r>
      <w:r w:rsidRPr="00EB337A">
        <w:rPr>
          <w:rFonts w:cs="Arial"/>
          <w:b/>
          <w:i/>
          <w:noProof/>
          <w:sz w:val="24"/>
          <w:szCs w:val="24"/>
          <w:lang w:val="en-US"/>
        </w:rPr>
        <w:tab/>
      </w:r>
      <w:r w:rsidR="004C4673" w:rsidRPr="004C4673">
        <w:rPr>
          <w:rFonts w:cs="Arial"/>
          <w:b/>
          <w:i/>
          <w:noProof/>
          <w:sz w:val="24"/>
          <w:szCs w:val="24"/>
          <w:lang w:val="en-US"/>
        </w:rPr>
        <w:t>R4-2104718</w:t>
      </w:r>
    </w:p>
    <w:p w14:paraId="3481B4D6" w14:textId="77777777" w:rsidR="0082788C" w:rsidRPr="000A1846" w:rsidRDefault="0082788C" w:rsidP="0082788C">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12</w:t>
      </w:r>
      <w:r w:rsidRPr="00AC44E4">
        <w:rPr>
          <w:rFonts w:cs="Arial"/>
          <w:b/>
          <w:noProof/>
          <w:sz w:val="24"/>
          <w:vertAlign w:val="superscript"/>
          <w:lang w:val="en-US"/>
        </w:rPr>
        <w:t>th</w:t>
      </w:r>
      <w:r>
        <w:rPr>
          <w:rFonts w:cs="Arial"/>
          <w:b/>
          <w:noProof/>
          <w:sz w:val="24"/>
          <w:lang w:val="en-US"/>
        </w:rPr>
        <w:t xml:space="preserve"> </w:t>
      </w:r>
      <w:r w:rsidRPr="000A1846">
        <w:rPr>
          <w:rFonts w:cs="Arial"/>
          <w:b/>
          <w:noProof/>
          <w:sz w:val="24"/>
          <w:lang w:val="en-US"/>
        </w:rPr>
        <w:t xml:space="preserve">– </w:t>
      </w:r>
      <w:r>
        <w:rPr>
          <w:rFonts w:cs="Arial"/>
          <w:b/>
          <w:noProof/>
          <w:sz w:val="24"/>
          <w:lang w:val="en-US"/>
        </w:rPr>
        <w:t>20</w:t>
      </w:r>
      <w:r w:rsidRPr="000A065E">
        <w:rPr>
          <w:rFonts w:cs="Arial"/>
          <w:b/>
          <w:noProof/>
          <w:sz w:val="24"/>
          <w:vertAlign w:val="superscript"/>
          <w:lang w:val="en-US"/>
        </w:rPr>
        <w:t>th</w:t>
      </w:r>
      <w:r>
        <w:rPr>
          <w:rFonts w:cs="Arial"/>
          <w:b/>
          <w:noProof/>
          <w:sz w:val="24"/>
          <w:lang w:val="en-US"/>
        </w:rPr>
        <w:t xml:space="preserve"> April</w:t>
      </w:r>
      <w:r w:rsidRPr="000A1846">
        <w:rPr>
          <w:rFonts w:cs="Arial"/>
          <w:b/>
          <w:noProof/>
          <w:sz w:val="24"/>
          <w:lang w:val="en-US"/>
        </w:rPr>
        <w:t>, 202</w:t>
      </w:r>
      <w:r>
        <w:rPr>
          <w:rFonts w:cs="Arial"/>
          <w:b/>
          <w:noProof/>
          <w:sz w:val="24"/>
          <w:lang w:val="en-US"/>
        </w:rPr>
        <w:t>1</w:t>
      </w:r>
    </w:p>
    <w:p w14:paraId="79F3DC15" w14:textId="77777777" w:rsidR="00DC6358" w:rsidRPr="00EB337A" w:rsidRDefault="00DC6358" w:rsidP="00DC6358">
      <w:pPr>
        <w:rPr>
          <w:rFonts w:ascii="Arial" w:hAnsi="Arial" w:cs="Arial"/>
          <w:b/>
          <w:noProof/>
          <w:sz w:val="24"/>
          <w:szCs w:val="24"/>
        </w:rPr>
      </w:pPr>
    </w:p>
    <w:p w14:paraId="1B4F0788" w14:textId="4FC90299" w:rsidR="00DC6358" w:rsidRPr="0072093D" w:rsidRDefault="00DC6358" w:rsidP="00DC6358">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r>
      <w:r>
        <w:rPr>
          <w:sz w:val="24"/>
          <w:szCs w:val="24"/>
        </w:rPr>
        <w:tab/>
      </w:r>
      <w:r>
        <w:rPr>
          <w:sz w:val="24"/>
          <w:szCs w:val="24"/>
        </w:rPr>
        <w:tab/>
      </w:r>
      <w:r w:rsidRPr="0072093D">
        <w:rPr>
          <w:sz w:val="24"/>
          <w:szCs w:val="24"/>
        </w:rPr>
        <w:t>Nokia, Nokia Shanghai Bell</w:t>
      </w:r>
    </w:p>
    <w:p w14:paraId="333B2105" w14:textId="186078C9" w:rsidR="007066E6" w:rsidRDefault="00DC6358" w:rsidP="00DC6358">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Pr>
          <w:sz w:val="24"/>
          <w:szCs w:val="24"/>
        </w:rPr>
        <w:tab/>
      </w:r>
      <w:r w:rsidR="00561589">
        <w:rPr>
          <w:sz w:val="24"/>
          <w:szCs w:val="24"/>
        </w:rPr>
        <w:t xml:space="preserve">Frequency arrangements </w:t>
      </w:r>
      <w:r w:rsidR="00666419">
        <w:rPr>
          <w:sz w:val="24"/>
          <w:szCs w:val="24"/>
        </w:rPr>
        <w:t>for APT 600 MHz</w:t>
      </w:r>
    </w:p>
    <w:p w14:paraId="632E5E14" w14:textId="2AE059E5" w:rsidR="00DC6358" w:rsidRPr="0072093D" w:rsidRDefault="00DC6358" w:rsidP="00DC6358">
      <w:pPr>
        <w:rPr>
          <w:sz w:val="24"/>
          <w:szCs w:val="24"/>
        </w:rPr>
      </w:pPr>
      <w:r w:rsidRPr="0072093D">
        <w:rPr>
          <w:b/>
          <w:sz w:val="24"/>
          <w:szCs w:val="24"/>
        </w:rPr>
        <w:t xml:space="preserve">Agenda Item: </w:t>
      </w:r>
      <w:r w:rsidRPr="0072093D">
        <w:rPr>
          <w:b/>
          <w:sz w:val="24"/>
          <w:szCs w:val="24"/>
        </w:rPr>
        <w:tab/>
      </w:r>
      <w:r w:rsidR="0082788C">
        <w:rPr>
          <w:sz w:val="24"/>
          <w:szCs w:val="24"/>
        </w:rPr>
        <w:t>9.3.4</w:t>
      </w:r>
      <w:r w:rsidR="007066E6" w:rsidRPr="00B86985">
        <w:rPr>
          <w:sz w:val="24"/>
          <w:szCs w:val="24"/>
        </w:rPr>
        <w:t xml:space="preserve"> </w:t>
      </w:r>
      <w:r w:rsidRPr="00B86985">
        <w:rPr>
          <w:sz w:val="24"/>
          <w:szCs w:val="24"/>
        </w:rPr>
        <w:t>[</w:t>
      </w:r>
      <w:r w:rsidR="00D715EB" w:rsidRPr="00B86985">
        <w:rPr>
          <w:sz w:val="24"/>
          <w:szCs w:val="24"/>
        </w:rPr>
        <w:t>FS_NR_600MHz_ext</w:t>
      </w:r>
      <w:r w:rsidRPr="00B86985">
        <w:rPr>
          <w:sz w:val="24"/>
          <w:szCs w:val="24"/>
        </w:rPr>
        <w:t>]</w:t>
      </w:r>
    </w:p>
    <w:p w14:paraId="04DC1DD4" w14:textId="32C67196" w:rsidR="00DC6358" w:rsidRPr="0072093D" w:rsidRDefault="00DC6358" w:rsidP="00DC6358">
      <w:pPr>
        <w:rPr>
          <w:sz w:val="24"/>
          <w:szCs w:val="24"/>
        </w:rPr>
      </w:pPr>
      <w:r w:rsidRPr="0072093D">
        <w:rPr>
          <w:b/>
          <w:sz w:val="24"/>
          <w:szCs w:val="24"/>
        </w:rPr>
        <w:t>Document for:</w:t>
      </w:r>
      <w:r w:rsidRPr="0072093D">
        <w:rPr>
          <w:b/>
          <w:sz w:val="24"/>
          <w:szCs w:val="24"/>
        </w:rPr>
        <w:tab/>
      </w:r>
      <w:r w:rsidR="00D6262C">
        <w:rPr>
          <w:sz w:val="24"/>
          <w:szCs w:val="24"/>
        </w:rPr>
        <w:t>Discussion</w:t>
      </w:r>
    </w:p>
    <w:p w14:paraId="1D3FC244" w14:textId="77777777" w:rsidR="00DC6358" w:rsidRPr="009153FC" w:rsidRDefault="00DC6358" w:rsidP="00DC6358">
      <w:pPr>
        <w:pStyle w:val="Heading1"/>
      </w:pPr>
      <w:r w:rsidRPr="009153FC">
        <w:t>Introduction</w:t>
      </w:r>
    </w:p>
    <w:p w14:paraId="149104DE" w14:textId="15229BA2" w:rsidR="00FE70CD" w:rsidRDefault="00F16B29" w:rsidP="0067040A">
      <w:r>
        <w:t>RAN#90e has approved the study item on</w:t>
      </w:r>
      <w:r w:rsidRPr="00F16B29">
        <w:t xml:space="preserve"> extended 600MHz NR band</w:t>
      </w:r>
      <w:r>
        <w:t xml:space="preserve"> </w:t>
      </w:r>
      <w:r w:rsidR="00B05E04">
        <w:t xml:space="preserve">[1] </w:t>
      </w:r>
      <w:r>
        <w:t xml:space="preserve">in order to respond to the </w:t>
      </w:r>
      <w:r w:rsidR="00B05E04">
        <w:t>LS</w:t>
      </w:r>
      <w:r>
        <w:t xml:space="preserve"> by APT/AWG [2]. </w:t>
      </w:r>
      <w:r w:rsidR="007066E6">
        <w:t xml:space="preserve">In </w:t>
      </w:r>
      <w:r w:rsidR="00B05E04">
        <w:t xml:space="preserve">the LS, two suggested frequency arrangement options (Option B1 and B2) are presented for 3GPP to study. </w:t>
      </w:r>
      <w:r w:rsidR="00B532EB">
        <w:t>The suggested</w:t>
      </w:r>
      <w:r w:rsidR="00B05E04">
        <w:t xml:space="preserve"> arrangements are </w:t>
      </w:r>
      <w:r w:rsidR="00C71D11">
        <w:t xml:space="preserve">the extension of band n71 and are </w:t>
      </w:r>
      <w:r w:rsidR="00B05E04">
        <w:t>harmonized with APT700</w:t>
      </w:r>
      <w:r w:rsidR="00B532EB">
        <w:t xml:space="preserve"> band plan to utilize the band up to 703 MHz.</w:t>
      </w:r>
    </w:p>
    <w:p w14:paraId="34B4E646" w14:textId="4AF07E99" w:rsidR="00B05E04" w:rsidRDefault="00B05E04" w:rsidP="0067040A">
      <w:r>
        <w:t>Option B1:</w:t>
      </w:r>
    </w:p>
    <w:p w14:paraId="062F202E" w14:textId="569ABA2A" w:rsidR="00B05E04" w:rsidRDefault="00B05E04" w:rsidP="0067040A">
      <w:pPr>
        <w:rPr>
          <w:rFonts w:eastAsia="ＭＳ Ｐゴシック"/>
          <w:i/>
          <w:iCs/>
        </w:rPr>
      </w:pPr>
      <w:r>
        <w:rPr>
          <w:noProof/>
          <w:lang w:eastAsia="zh-CN"/>
        </w:rPr>
        <w:drawing>
          <wp:inline distT="0" distB="0" distL="0" distR="0" wp14:anchorId="32EF5736" wp14:editId="22F16F3C">
            <wp:extent cx="4095750" cy="14097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95750" cy="1409700"/>
                    </a:xfrm>
                    <a:prstGeom prst="rect">
                      <a:avLst/>
                    </a:prstGeom>
                  </pic:spPr>
                </pic:pic>
              </a:graphicData>
            </a:graphic>
          </wp:inline>
        </w:drawing>
      </w:r>
    </w:p>
    <w:p w14:paraId="480E90D0" w14:textId="446C5B0D" w:rsidR="00B05E04" w:rsidRDefault="00B05E04" w:rsidP="00B05E04">
      <w:r>
        <w:t>Option B2:</w:t>
      </w:r>
    </w:p>
    <w:p w14:paraId="0A3356D2" w14:textId="15E47BE8" w:rsidR="00B05E04" w:rsidRDefault="00B05E04" w:rsidP="0067040A">
      <w:pPr>
        <w:rPr>
          <w:rFonts w:eastAsia="ＭＳ Ｐゴシック"/>
          <w:i/>
          <w:iCs/>
        </w:rPr>
      </w:pPr>
      <w:r>
        <w:rPr>
          <w:noProof/>
          <w:lang w:eastAsia="zh-CN"/>
        </w:rPr>
        <w:lastRenderedPageBreak/>
        <w:drawing>
          <wp:inline distT="0" distB="0" distL="0" distR="0" wp14:anchorId="10963380" wp14:editId="6D42697F">
            <wp:extent cx="5343525" cy="45624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343525" cy="4562475"/>
                    </a:xfrm>
                    <a:prstGeom prst="rect">
                      <a:avLst/>
                    </a:prstGeom>
                  </pic:spPr>
                </pic:pic>
              </a:graphicData>
            </a:graphic>
          </wp:inline>
        </w:drawing>
      </w:r>
    </w:p>
    <w:p w14:paraId="79722CE6" w14:textId="6DEA1230" w:rsidR="00B532EB" w:rsidRDefault="00B532EB" w:rsidP="0067040A">
      <w:pPr>
        <w:rPr>
          <w:rFonts w:eastAsia="ＭＳ Ｐゴシック"/>
        </w:rPr>
      </w:pPr>
      <w:r>
        <w:rPr>
          <w:rFonts w:eastAsia="ＭＳ Ｐゴシック"/>
        </w:rPr>
        <w:t>In the approved scope of SID [1], it is also considered not to preclude other arrangement.</w:t>
      </w:r>
      <w:r w:rsidR="005864B5">
        <w:rPr>
          <w:rFonts w:eastAsia="ＭＳ Ｐゴシック"/>
        </w:rPr>
        <w:t xml:space="preserve"> </w:t>
      </w:r>
    </w:p>
    <w:p w14:paraId="47C8C05C" w14:textId="7FF8806A" w:rsidR="005864B5" w:rsidRDefault="005864B5" w:rsidP="0067040A">
      <w:pPr>
        <w:rPr>
          <w:rFonts w:eastAsia="ＭＳ Ｐゴシック"/>
        </w:rPr>
      </w:pPr>
      <w:r>
        <w:rPr>
          <w:rFonts w:eastAsia="ＭＳ Ｐゴシック"/>
        </w:rPr>
        <w:t>In the last RAN4#98e meeting, there was also a proposal to consider two band approach (called Band 71 + Band nX) to cover the extended frequency. However, while discussed this in APT/AWG, such approach is low priority and is only recommended only when the option B1 and B have severe difficulties.</w:t>
      </w:r>
    </w:p>
    <w:p w14:paraId="3B4B8D54" w14:textId="2E202F78" w:rsidR="00B532EB" w:rsidRPr="00B532EB" w:rsidRDefault="00B532EB" w:rsidP="0067040A">
      <w:pPr>
        <w:rPr>
          <w:rFonts w:eastAsia="ＭＳ Ｐゴシック"/>
        </w:rPr>
      </w:pPr>
      <w:r>
        <w:rPr>
          <w:rFonts w:eastAsia="ＭＳ Ｐゴシック"/>
        </w:rPr>
        <w:t xml:space="preserve">In this contribution, the feasibility of option B1 and B2, as well as </w:t>
      </w:r>
      <w:r w:rsidR="00B86985">
        <w:rPr>
          <w:rFonts w:eastAsia="ＭＳ Ｐゴシック"/>
        </w:rPr>
        <w:t xml:space="preserve">whether </w:t>
      </w:r>
      <w:r>
        <w:rPr>
          <w:rFonts w:eastAsia="ＭＳ Ｐゴシック"/>
        </w:rPr>
        <w:t xml:space="preserve">other possible </w:t>
      </w:r>
      <w:r w:rsidR="00920E51">
        <w:rPr>
          <w:rFonts w:eastAsia="ＭＳ Ｐゴシック"/>
        </w:rPr>
        <w:t>options</w:t>
      </w:r>
      <w:r>
        <w:rPr>
          <w:rFonts w:eastAsia="ＭＳ Ｐゴシック"/>
        </w:rPr>
        <w:t xml:space="preserve"> are </w:t>
      </w:r>
      <w:r w:rsidR="00B86985">
        <w:rPr>
          <w:rFonts w:eastAsia="ＭＳ Ｐゴシック"/>
        </w:rPr>
        <w:t xml:space="preserve">feasible is </w:t>
      </w:r>
      <w:r>
        <w:rPr>
          <w:rFonts w:eastAsia="ＭＳ Ｐゴシック"/>
        </w:rPr>
        <w:t>discussed</w:t>
      </w:r>
      <w:r w:rsidR="005864B5">
        <w:rPr>
          <w:rFonts w:eastAsia="ＭＳ Ｐゴシック"/>
        </w:rPr>
        <w:t xml:space="preserve"> considering the latest input from APT/AWG</w:t>
      </w:r>
      <w:r>
        <w:rPr>
          <w:rFonts w:eastAsia="ＭＳ Ｐゴシック"/>
        </w:rPr>
        <w:t>.</w:t>
      </w:r>
    </w:p>
    <w:p w14:paraId="68301C53" w14:textId="1B40FD81" w:rsidR="002A2F73" w:rsidRPr="00DC6358" w:rsidRDefault="002A2F73" w:rsidP="002A2F73">
      <w:pPr>
        <w:pStyle w:val="Heading1"/>
      </w:pPr>
      <w:r>
        <w:t>Discussion</w:t>
      </w:r>
    </w:p>
    <w:p w14:paraId="7F29F0EB" w14:textId="6B94F684" w:rsidR="00AE4E25" w:rsidRDefault="00C71D11" w:rsidP="00D14595">
      <w:pPr>
        <w:rPr>
          <w:rFonts w:eastAsia="ＭＳ Ｐゴシック"/>
          <w:lang w:val="en-US"/>
        </w:rPr>
      </w:pPr>
      <w:r>
        <w:rPr>
          <w:rFonts w:eastAsia="ＭＳ Ｐゴシック"/>
          <w:lang w:val="en-US"/>
        </w:rPr>
        <w:t xml:space="preserve">3GPP has already specified a 600 MHz band n71 </w:t>
      </w:r>
      <w:r w:rsidR="00B86985">
        <w:rPr>
          <w:rFonts w:eastAsia="ＭＳ Ｐゴシック"/>
          <w:lang w:val="en-US"/>
        </w:rPr>
        <w:t>aligned with</w:t>
      </w:r>
      <w:r>
        <w:rPr>
          <w:rFonts w:eastAsia="ＭＳ Ｐゴシック"/>
          <w:lang w:val="en-US"/>
        </w:rPr>
        <w:t xml:space="preserve"> FCC rules. The ecosystem of band n71 is </w:t>
      </w:r>
      <w:r w:rsidR="00B86985">
        <w:rPr>
          <w:rFonts w:eastAsia="ＭＳ Ｐゴシック"/>
          <w:lang w:val="en-US"/>
        </w:rPr>
        <w:t xml:space="preserve">expected </w:t>
      </w:r>
      <w:r>
        <w:rPr>
          <w:rFonts w:eastAsia="ＭＳ Ｐゴシック"/>
          <w:lang w:val="en-US"/>
        </w:rPr>
        <w:t xml:space="preserve">large and should be maximally reused </w:t>
      </w:r>
      <w:r w:rsidR="006942C1">
        <w:rPr>
          <w:rFonts w:eastAsia="ＭＳ Ｐゴシック"/>
          <w:lang w:val="en-US"/>
        </w:rPr>
        <w:t>in</w:t>
      </w:r>
      <w:r>
        <w:rPr>
          <w:rFonts w:eastAsia="ＭＳ Ｐゴシック"/>
          <w:lang w:val="en-US"/>
        </w:rPr>
        <w:t xml:space="preserve"> other regions</w:t>
      </w:r>
      <w:r w:rsidR="006942C1">
        <w:rPr>
          <w:rFonts w:eastAsia="ＭＳ Ｐゴシック"/>
          <w:lang w:val="en-US"/>
        </w:rPr>
        <w:t xml:space="preserve"> in order to avoid the market fragmentation</w:t>
      </w:r>
      <w:r w:rsidR="00572952">
        <w:rPr>
          <w:rFonts w:eastAsia="ＭＳ Ｐゴシック"/>
          <w:lang w:val="en-US"/>
        </w:rPr>
        <w:t xml:space="preserve"> of the band</w:t>
      </w:r>
      <w:r>
        <w:rPr>
          <w:rFonts w:eastAsia="ＭＳ Ｐゴシック"/>
          <w:lang w:val="en-US"/>
        </w:rPr>
        <w:t>.</w:t>
      </w:r>
      <w:r w:rsidR="006942C1">
        <w:rPr>
          <w:rFonts w:eastAsia="ＭＳ Ｐゴシック"/>
          <w:lang w:val="en-US"/>
        </w:rPr>
        <w:t xml:space="preserve"> However, the 700 MHz band plan is different between FCC and other regions</w:t>
      </w:r>
      <w:r w:rsidR="00572952">
        <w:rPr>
          <w:rFonts w:eastAsia="ＭＳ Ｐゴシック"/>
          <w:lang w:val="en-US"/>
        </w:rPr>
        <w:t xml:space="preserve">. APT700 is adopted other than in the regions using FCC based </w:t>
      </w:r>
      <w:r w:rsidR="00B86985">
        <w:rPr>
          <w:rFonts w:eastAsia="ＭＳ Ｐゴシック"/>
          <w:lang w:val="en-US"/>
        </w:rPr>
        <w:t xml:space="preserve">700 MHz </w:t>
      </w:r>
      <w:r w:rsidR="00572952">
        <w:rPr>
          <w:rFonts w:eastAsia="ＭＳ Ｐゴシック"/>
          <w:lang w:val="en-US"/>
        </w:rPr>
        <w:t>band plans. The request by APT/AWG is to study a band for APT up to 703 MHz, i.e., 5 MHz extension of band n71.</w:t>
      </w:r>
    </w:p>
    <w:p w14:paraId="7F50951D" w14:textId="77777777" w:rsidR="00572952" w:rsidRDefault="00572952" w:rsidP="00572952">
      <w:pPr>
        <w:rPr>
          <w:rFonts w:eastAsia="ＭＳ Ｐゴシック"/>
          <w:b/>
          <w:bCs/>
          <w:i/>
          <w:iCs/>
          <w:lang w:val="en-US"/>
        </w:rPr>
      </w:pPr>
      <w:r>
        <w:rPr>
          <w:rFonts w:eastAsia="ＭＳ Ｐゴシック"/>
          <w:b/>
          <w:bCs/>
          <w:i/>
          <w:iCs/>
          <w:lang w:val="en-US"/>
        </w:rPr>
        <w:t>Observation 1: The ecosystem of band n71 should be maximally reused for APT.</w:t>
      </w:r>
    </w:p>
    <w:p w14:paraId="47C97D33" w14:textId="066AB6D0" w:rsidR="006E429B" w:rsidRDefault="00572952" w:rsidP="00D14595">
      <w:pPr>
        <w:rPr>
          <w:rFonts w:eastAsia="ＭＳ Ｐゴシック"/>
          <w:lang w:val="en-US"/>
        </w:rPr>
      </w:pPr>
      <w:r>
        <w:rPr>
          <w:rFonts w:eastAsia="ＭＳ Ｐゴシック"/>
          <w:lang w:val="en-US"/>
        </w:rPr>
        <w:t xml:space="preserve">Option B1 is to extend the uplink up to 703 MHz and downlink down to 612 MHz. Therefore, the centre gap size is maintained but the duplex distance is changed by 5 MHz. In typical UE implementation, the duplex distance is not </w:t>
      </w:r>
      <w:r w:rsidR="006E429B">
        <w:rPr>
          <w:rFonts w:eastAsia="ＭＳ Ｐゴシック"/>
          <w:lang w:val="en-US"/>
        </w:rPr>
        <w:t xml:space="preserve">variable; </w:t>
      </w:r>
      <w:r>
        <w:rPr>
          <w:rFonts w:eastAsia="ＭＳ Ｐゴシック"/>
          <w:lang w:val="en-US"/>
        </w:rPr>
        <w:t xml:space="preserve">it is difficult to reuse the </w:t>
      </w:r>
      <w:r w:rsidR="001B55F3">
        <w:rPr>
          <w:rFonts w:eastAsia="ＭＳ Ｐゴシック"/>
          <w:lang w:val="en-US"/>
        </w:rPr>
        <w:t xml:space="preserve">band n71 </w:t>
      </w:r>
      <w:r>
        <w:rPr>
          <w:rFonts w:eastAsia="ＭＳ Ｐゴシック"/>
          <w:lang w:val="en-US"/>
        </w:rPr>
        <w:t xml:space="preserve">design for </w:t>
      </w:r>
      <w:r w:rsidR="006E429B">
        <w:rPr>
          <w:rFonts w:eastAsia="ＭＳ Ｐゴシック"/>
          <w:lang w:val="en-US"/>
        </w:rPr>
        <w:t>variable duplex</w:t>
      </w:r>
      <w:r>
        <w:rPr>
          <w:rFonts w:eastAsia="ＭＳ Ｐゴシック"/>
          <w:lang w:val="en-US"/>
        </w:rPr>
        <w:t xml:space="preserve">. Furthermore, the existing duplexer design for band n71 is </w:t>
      </w:r>
      <w:r w:rsidR="00916F95">
        <w:rPr>
          <w:rFonts w:eastAsia="ＭＳ Ｐゴシック"/>
          <w:lang w:val="en-US"/>
        </w:rPr>
        <w:t xml:space="preserve">already quite challenging due to small gap and large passband bandwidth. </w:t>
      </w:r>
      <w:r w:rsidR="006E429B">
        <w:rPr>
          <w:rFonts w:eastAsia="ＭＳ Ｐゴシック"/>
          <w:lang w:val="en-US"/>
        </w:rPr>
        <w:t>Even if the centre gap is maintained, t</w:t>
      </w:r>
      <w:r w:rsidR="00916F95">
        <w:rPr>
          <w:rFonts w:eastAsia="ＭＳ Ｐゴシック"/>
          <w:lang w:val="en-US"/>
        </w:rPr>
        <w:t xml:space="preserve">he relative passband bandwidth ratio, i.e., the passband bandwidth vs carrier frequency should be at most </w:t>
      </w:r>
      <w:r w:rsidR="001B55F3">
        <w:rPr>
          <w:rFonts w:eastAsia="ＭＳ Ｐゴシック"/>
          <w:lang w:val="en-US"/>
        </w:rPr>
        <w:t>in an</w:t>
      </w:r>
      <w:r w:rsidR="00916F95">
        <w:rPr>
          <w:rFonts w:eastAsia="ＭＳ Ｐゴシック"/>
          <w:lang w:val="en-US"/>
        </w:rPr>
        <w:t xml:space="preserve"> order of 4%</w:t>
      </w:r>
      <w:r w:rsidR="001B55F3">
        <w:rPr>
          <w:rFonts w:eastAsia="ＭＳ Ｐゴシック"/>
          <w:lang w:val="en-US"/>
        </w:rPr>
        <w:t xml:space="preserve"> to achieve decent performance</w:t>
      </w:r>
      <w:r w:rsidR="00E24D90">
        <w:rPr>
          <w:rFonts w:eastAsia="ＭＳ Ｐゴシック"/>
          <w:lang w:val="en-US"/>
        </w:rPr>
        <w:t xml:space="preserve"> in insertion loss and isolations</w:t>
      </w:r>
      <w:r w:rsidR="001B55F3">
        <w:rPr>
          <w:rFonts w:eastAsia="ＭＳ Ｐゴシック"/>
          <w:lang w:val="en-US"/>
        </w:rPr>
        <w:t>. The b</w:t>
      </w:r>
      <w:r w:rsidR="006E429B">
        <w:rPr>
          <w:rFonts w:eastAsia="ＭＳ Ｐゴシック"/>
          <w:lang w:val="en-US"/>
        </w:rPr>
        <w:t xml:space="preserve">and n71 </w:t>
      </w:r>
      <w:r w:rsidR="001B55F3">
        <w:rPr>
          <w:rFonts w:eastAsia="ＭＳ Ｐゴシック"/>
          <w:lang w:val="en-US"/>
        </w:rPr>
        <w:t xml:space="preserve">design </w:t>
      </w:r>
      <w:r w:rsidR="006E429B">
        <w:rPr>
          <w:rFonts w:eastAsia="ＭＳ Ｐゴシック"/>
          <w:lang w:val="en-US"/>
        </w:rPr>
        <w:t>is already stretched out</w:t>
      </w:r>
      <w:r w:rsidR="00916F95">
        <w:rPr>
          <w:rFonts w:eastAsia="ＭＳ Ｐゴシック"/>
          <w:lang w:val="en-US"/>
        </w:rPr>
        <w:t xml:space="preserve">. </w:t>
      </w:r>
    </w:p>
    <w:p w14:paraId="469F185C" w14:textId="1935ED5E" w:rsidR="00916F95" w:rsidRDefault="006E429B" w:rsidP="00D14595">
      <w:pPr>
        <w:rPr>
          <w:rFonts w:eastAsia="ＭＳ Ｐゴシック"/>
          <w:lang w:val="en-US"/>
        </w:rPr>
      </w:pPr>
      <w:r>
        <w:rPr>
          <w:rFonts w:eastAsia="ＭＳ Ｐゴシック"/>
          <w:lang w:val="en-US"/>
        </w:rPr>
        <w:t xml:space="preserve">APT700 study </w:t>
      </w:r>
      <w:r w:rsidR="00F148FB">
        <w:rPr>
          <w:rFonts w:eastAsia="ＭＳ Ｐゴシック"/>
          <w:lang w:val="en-US"/>
        </w:rPr>
        <w:t xml:space="preserve">[3] </w:t>
      </w:r>
      <w:r>
        <w:rPr>
          <w:rFonts w:eastAsia="ＭＳ Ｐゴシック"/>
          <w:lang w:val="en-US"/>
        </w:rPr>
        <w:t xml:space="preserve">has shown that </w:t>
      </w:r>
      <w:r w:rsidR="00F148FB">
        <w:rPr>
          <w:rFonts w:eastAsia="ＭＳ Ｐゴシック"/>
          <w:lang w:val="en-US"/>
        </w:rPr>
        <w:t>an</w:t>
      </w:r>
      <w:r>
        <w:rPr>
          <w:rFonts w:eastAsia="ＭＳ Ｐゴシック"/>
          <w:lang w:val="en-US"/>
        </w:rPr>
        <w:t xml:space="preserve"> additional extension </w:t>
      </w:r>
      <w:r w:rsidR="00F148FB">
        <w:rPr>
          <w:rFonts w:eastAsia="ＭＳ Ｐゴシック"/>
          <w:lang w:val="en-US"/>
        </w:rPr>
        <w:t xml:space="preserve">(from 30 to 32.5 MHz) </w:t>
      </w:r>
      <w:r>
        <w:rPr>
          <w:rFonts w:eastAsia="ＭＳ Ｐゴシック"/>
          <w:lang w:val="en-US"/>
        </w:rPr>
        <w:t xml:space="preserve">results in the </w:t>
      </w:r>
      <w:r w:rsidR="000D7463">
        <w:rPr>
          <w:rFonts w:eastAsia="ＭＳ Ｐゴシック"/>
          <w:lang w:val="en-US"/>
        </w:rPr>
        <w:t>large</w:t>
      </w:r>
      <w:r>
        <w:rPr>
          <w:rFonts w:eastAsia="ＭＳ Ｐゴシック"/>
          <w:lang w:val="en-US"/>
        </w:rPr>
        <w:t xml:space="preserve"> degradation in its insertion loss performance. The worse is expected for the extension of n71 </w:t>
      </w:r>
      <w:r w:rsidR="00BF08AB">
        <w:rPr>
          <w:rFonts w:eastAsia="ＭＳ Ｐゴシック"/>
          <w:lang w:val="en-US"/>
        </w:rPr>
        <w:t>p</w:t>
      </w:r>
      <w:r>
        <w:rPr>
          <w:rFonts w:eastAsia="ＭＳ Ｐゴシック"/>
          <w:lang w:val="en-US"/>
        </w:rPr>
        <w:t>assband bandwidth.</w:t>
      </w:r>
      <w:r w:rsidR="004A2911">
        <w:rPr>
          <w:rFonts w:eastAsia="ＭＳ Ｐゴシック"/>
          <w:lang w:val="en-US"/>
        </w:rPr>
        <w:t xml:space="preserve"> The single full </w:t>
      </w:r>
      <w:r w:rsidR="004A2911">
        <w:rPr>
          <w:rFonts w:eastAsia="ＭＳ Ｐゴシック"/>
          <w:lang w:val="en-US"/>
        </w:rPr>
        <w:lastRenderedPageBreak/>
        <w:t xml:space="preserve">duplexer for option B1 </w:t>
      </w:r>
      <w:r w:rsidR="00942E71">
        <w:rPr>
          <w:rFonts w:eastAsia="ＭＳ Ｐゴシック"/>
          <w:lang w:val="en-US"/>
        </w:rPr>
        <w:t>is considered</w:t>
      </w:r>
      <w:r w:rsidR="004A2911">
        <w:rPr>
          <w:rFonts w:eastAsia="ＭＳ Ｐゴシック"/>
          <w:lang w:val="en-US"/>
        </w:rPr>
        <w:t xml:space="preserve"> the most challenging filter design ever </w:t>
      </w:r>
      <w:r w:rsidR="00942E71">
        <w:rPr>
          <w:rFonts w:eastAsia="ＭＳ Ｐゴシック"/>
          <w:lang w:val="en-US"/>
        </w:rPr>
        <w:t>as discussed in RAN4#98e and supported by majority view [5]</w:t>
      </w:r>
      <w:r w:rsidR="004A2911">
        <w:rPr>
          <w:rFonts w:eastAsia="ＭＳ Ｐゴシック"/>
          <w:lang w:val="en-US"/>
        </w:rPr>
        <w:t>.</w:t>
      </w:r>
    </w:p>
    <w:p w14:paraId="2927B4F7" w14:textId="3CA5E6FE" w:rsidR="00916F95" w:rsidRDefault="00916F95" w:rsidP="00916F95">
      <w:pPr>
        <w:rPr>
          <w:rFonts w:eastAsia="ＭＳ Ｐゴシック"/>
          <w:b/>
          <w:bCs/>
          <w:i/>
          <w:iCs/>
          <w:lang w:val="en-US"/>
        </w:rPr>
      </w:pPr>
      <w:r>
        <w:rPr>
          <w:rFonts w:eastAsia="ＭＳ Ｐゴシック"/>
          <w:b/>
          <w:bCs/>
          <w:i/>
          <w:iCs/>
          <w:lang w:val="en-US"/>
        </w:rPr>
        <w:t xml:space="preserve">Observation </w:t>
      </w:r>
      <w:r w:rsidR="006E429B">
        <w:rPr>
          <w:rFonts w:eastAsia="ＭＳ Ｐゴシック"/>
          <w:b/>
          <w:bCs/>
          <w:i/>
          <w:iCs/>
          <w:lang w:val="en-US"/>
        </w:rPr>
        <w:t>2</w:t>
      </w:r>
      <w:r>
        <w:rPr>
          <w:rFonts w:eastAsia="ＭＳ Ｐゴシック"/>
          <w:b/>
          <w:bCs/>
          <w:i/>
          <w:iCs/>
          <w:lang w:val="en-US"/>
        </w:rPr>
        <w:t>: Th</w:t>
      </w:r>
      <w:r w:rsidR="006E429B">
        <w:rPr>
          <w:rFonts w:eastAsia="ＭＳ Ｐゴシック"/>
          <w:b/>
          <w:bCs/>
          <w:i/>
          <w:iCs/>
          <w:lang w:val="en-US"/>
        </w:rPr>
        <w:t xml:space="preserve">e passband bandwidth extension is not practically feasible without significant degradation from band </w:t>
      </w:r>
      <w:r w:rsidR="00FC0B8E">
        <w:rPr>
          <w:rFonts w:eastAsia="ＭＳ Ｐゴシック"/>
          <w:b/>
          <w:bCs/>
          <w:i/>
          <w:iCs/>
          <w:lang w:val="en-US"/>
        </w:rPr>
        <w:t>n71 due to its larger</w:t>
      </w:r>
      <w:r w:rsidR="006E429B">
        <w:rPr>
          <w:rFonts w:eastAsia="ＭＳ Ｐゴシック"/>
          <w:b/>
          <w:bCs/>
          <w:i/>
          <w:iCs/>
          <w:lang w:val="en-US"/>
        </w:rPr>
        <w:t xml:space="preserve"> insertion loss</w:t>
      </w:r>
      <w:r w:rsidR="000D7463">
        <w:rPr>
          <w:rFonts w:eastAsia="ＭＳ Ｐゴシック"/>
          <w:b/>
          <w:bCs/>
          <w:i/>
          <w:iCs/>
          <w:lang w:val="en-US"/>
        </w:rPr>
        <w:t>.</w:t>
      </w:r>
    </w:p>
    <w:p w14:paraId="3289BBBF" w14:textId="51A23D7A" w:rsidR="00BF08AB" w:rsidRDefault="00BF08AB" w:rsidP="000D7463">
      <w:pPr>
        <w:rPr>
          <w:rFonts w:eastAsia="ＭＳ Ｐゴシック"/>
          <w:b/>
          <w:bCs/>
          <w:i/>
          <w:iCs/>
          <w:lang w:val="en-US"/>
        </w:rPr>
      </w:pPr>
      <w:r>
        <w:rPr>
          <w:rFonts w:eastAsia="ＭＳ Ｐゴシック"/>
          <w:lang w:val="en-US"/>
        </w:rPr>
        <w:t xml:space="preserve">Since Option B1 downlink is down to 612 MHz, it </w:t>
      </w:r>
      <w:r w:rsidR="00CD5107">
        <w:rPr>
          <w:rFonts w:eastAsia="ＭＳ Ｐゴシック"/>
          <w:lang w:val="en-US"/>
        </w:rPr>
        <w:t xml:space="preserve">may </w:t>
      </w:r>
      <w:r>
        <w:rPr>
          <w:rFonts w:eastAsia="ＭＳ Ｐゴシック"/>
          <w:lang w:val="en-US"/>
        </w:rPr>
        <w:t xml:space="preserve">require vacating an addition </w:t>
      </w:r>
      <w:r w:rsidR="006A3B64">
        <w:rPr>
          <w:rFonts w:eastAsia="ＭＳ Ｐゴシック"/>
          <w:lang w:val="en-US"/>
        </w:rPr>
        <w:t xml:space="preserve">TV </w:t>
      </w:r>
      <w:r>
        <w:rPr>
          <w:rFonts w:eastAsia="ＭＳ Ｐゴシック"/>
          <w:lang w:val="en-US"/>
        </w:rPr>
        <w:t xml:space="preserve">channel, </w:t>
      </w:r>
      <w:r w:rsidR="006A2212">
        <w:rPr>
          <w:rFonts w:eastAsia="ＭＳ Ｐゴシック"/>
          <w:lang w:val="en-US"/>
        </w:rPr>
        <w:t>e.g.,</w:t>
      </w:r>
      <w:r>
        <w:rPr>
          <w:rFonts w:eastAsia="ＭＳ Ｐゴシック"/>
          <w:lang w:val="en-US"/>
        </w:rPr>
        <w:t xml:space="preserve"> CH37 in </w:t>
      </w:r>
      <w:r w:rsidR="006A2212">
        <w:rPr>
          <w:rFonts w:eastAsia="ＭＳ Ｐゴシック"/>
          <w:lang w:val="en-US"/>
        </w:rPr>
        <w:t xml:space="preserve">case of </w:t>
      </w:r>
      <w:r>
        <w:rPr>
          <w:rFonts w:eastAsia="ＭＳ Ｐゴシック"/>
          <w:lang w:val="en-US"/>
        </w:rPr>
        <w:t xml:space="preserve">FCC </w:t>
      </w:r>
      <w:r w:rsidR="009559E0">
        <w:rPr>
          <w:rFonts w:eastAsia="ＭＳ Ｐゴシック"/>
          <w:lang w:val="en-US"/>
        </w:rPr>
        <w:t>arrangement</w:t>
      </w:r>
      <w:r>
        <w:rPr>
          <w:rFonts w:eastAsia="ＭＳ Ｐゴシック"/>
          <w:lang w:val="en-US"/>
        </w:rPr>
        <w:t xml:space="preserve">. It’s been unclear if consensus can be made about how many broadcast channels can be vacated in APT regions. For </w:t>
      </w:r>
      <w:r w:rsidR="006E4A01">
        <w:rPr>
          <w:rFonts w:eastAsia="ＭＳ Ｐゴシック"/>
          <w:lang w:val="en-US"/>
        </w:rPr>
        <w:t>extending band n71</w:t>
      </w:r>
      <w:r>
        <w:rPr>
          <w:rFonts w:eastAsia="ＭＳ Ｐゴシック"/>
          <w:lang w:val="en-US"/>
        </w:rPr>
        <w:t xml:space="preserve">, it is proposed to focus on the extension </w:t>
      </w:r>
      <w:r w:rsidR="006E4A01">
        <w:rPr>
          <w:rFonts w:eastAsia="ＭＳ Ｐゴシック"/>
          <w:lang w:val="en-US"/>
        </w:rPr>
        <w:t xml:space="preserve">up </w:t>
      </w:r>
      <w:r w:rsidR="001C70E1">
        <w:rPr>
          <w:rFonts w:eastAsia="ＭＳ Ｐゴシック"/>
          <w:lang w:val="en-US"/>
        </w:rPr>
        <w:t>to 703 MHz.</w:t>
      </w:r>
    </w:p>
    <w:p w14:paraId="0E037E58" w14:textId="56C43982" w:rsidR="00557C3D" w:rsidRDefault="000D7463" w:rsidP="00D14595">
      <w:pPr>
        <w:rPr>
          <w:rFonts w:eastAsia="ＭＳ Ｐゴシック"/>
          <w:lang w:val="en-US"/>
        </w:rPr>
      </w:pPr>
      <w:r>
        <w:rPr>
          <w:rFonts w:eastAsia="ＭＳ Ｐゴシック"/>
          <w:lang w:val="en-US"/>
        </w:rPr>
        <w:t>Option B2</w:t>
      </w:r>
      <w:r w:rsidR="005522AE">
        <w:rPr>
          <w:rFonts w:eastAsia="ＭＳ Ｐゴシック"/>
          <w:lang w:val="en-US"/>
        </w:rPr>
        <w:t xml:space="preserve"> is based on the dual duplexer architecture similar to APT700. The lower duplexer is the same as band n71. The centre gap of the frequency arrangement is reduced by 5 MHz, however, the gap for each duplexer is maintained. The advantage of this architecture is that </w:t>
      </w:r>
      <w:r w:rsidR="00C800FA">
        <w:rPr>
          <w:rFonts w:eastAsia="ＭＳ Ｐゴシック"/>
          <w:lang w:val="en-US"/>
        </w:rPr>
        <w:t>the</w:t>
      </w:r>
      <w:r w:rsidR="005522AE">
        <w:rPr>
          <w:rFonts w:eastAsia="ＭＳ Ｐゴシック"/>
          <w:lang w:val="en-US"/>
        </w:rPr>
        <w:t xml:space="preserve"> duplexer performance is maintained</w:t>
      </w:r>
      <w:r w:rsidR="00C800FA">
        <w:rPr>
          <w:rFonts w:eastAsia="ＭＳ Ｐゴシック"/>
          <w:lang w:val="en-US"/>
        </w:rPr>
        <w:t xml:space="preserve"> due to the same gap and passband for each duplexer</w:t>
      </w:r>
      <w:r w:rsidR="005522AE">
        <w:rPr>
          <w:rFonts w:eastAsia="ＭＳ Ｐゴシック"/>
          <w:lang w:val="en-US"/>
        </w:rPr>
        <w:t xml:space="preserve">. Therefore, this option is more harmonized with band n71 in terms of UE implementation and duplexer performance. </w:t>
      </w:r>
      <w:r w:rsidR="00557C3D">
        <w:rPr>
          <w:rFonts w:eastAsia="ＭＳ Ｐゴシック"/>
          <w:lang w:val="en-US"/>
        </w:rPr>
        <w:t xml:space="preserve">Disadvantage of </w:t>
      </w:r>
      <w:r w:rsidR="00FF7685">
        <w:rPr>
          <w:rFonts w:eastAsia="ＭＳ Ｐゴシック"/>
          <w:lang w:val="en-US"/>
        </w:rPr>
        <w:t>Option B2</w:t>
      </w:r>
      <w:r w:rsidR="00557C3D">
        <w:rPr>
          <w:rFonts w:eastAsia="ＭＳ Ｐゴシック"/>
          <w:lang w:val="en-US"/>
        </w:rPr>
        <w:t xml:space="preserve"> is an additional component cost in UE implementation </w:t>
      </w:r>
      <w:r w:rsidR="00FF7685">
        <w:rPr>
          <w:rFonts w:eastAsia="ＭＳ Ｐゴシック"/>
          <w:lang w:val="en-US"/>
        </w:rPr>
        <w:t xml:space="preserve">due to </w:t>
      </w:r>
      <w:r w:rsidR="00557C3D">
        <w:rPr>
          <w:rFonts w:eastAsia="ＭＳ Ｐゴシック"/>
          <w:lang w:val="en-US"/>
        </w:rPr>
        <w:t>additional duplexer and switch</w:t>
      </w:r>
      <w:r w:rsidR="00FF7685">
        <w:rPr>
          <w:rFonts w:eastAsia="ＭＳ Ｐゴシック"/>
          <w:lang w:val="en-US"/>
        </w:rPr>
        <w:t>.</w:t>
      </w:r>
      <w:r w:rsidR="00FF5B29">
        <w:rPr>
          <w:rFonts w:eastAsia="ＭＳ Ｐゴシック"/>
          <w:lang w:val="en-US"/>
        </w:rPr>
        <w:t xml:space="preserve"> Duplexer switch is anyway needed for multiband capable UE and one more duplexer should not add more loss. </w:t>
      </w:r>
      <w:r w:rsidR="00514AEA">
        <w:rPr>
          <w:rFonts w:eastAsia="ＭＳ Ｐゴシック"/>
          <w:lang w:val="en-US"/>
        </w:rPr>
        <w:t>Therefore,</w:t>
      </w:r>
      <w:r w:rsidR="00FF5B29">
        <w:rPr>
          <w:rFonts w:eastAsia="ＭＳ Ｐゴシック"/>
          <w:lang w:val="en-US"/>
        </w:rPr>
        <w:t xml:space="preserve"> UE RF performance of Option B2 should be </w:t>
      </w:r>
      <w:r w:rsidR="00C800FA">
        <w:rPr>
          <w:rFonts w:eastAsia="ＭＳ Ｐゴシック"/>
          <w:lang w:val="en-US"/>
        </w:rPr>
        <w:t xml:space="preserve">aligned </w:t>
      </w:r>
      <w:r w:rsidR="00FF5B29">
        <w:rPr>
          <w:rFonts w:eastAsia="ＭＳ Ｐゴシック"/>
          <w:lang w:val="en-US"/>
        </w:rPr>
        <w:t>with n71.</w:t>
      </w:r>
    </w:p>
    <w:p w14:paraId="5F90717E" w14:textId="71B72301" w:rsidR="00FF5B29" w:rsidRDefault="002A55C1" w:rsidP="00FF5B29">
      <w:pPr>
        <w:rPr>
          <w:rFonts w:eastAsia="ＭＳ Ｐゴシック"/>
          <w:lang w:val="en-US"/>
        </w:rPr>
      </w:pPr>
      <w:r>
        <w:rPr>
          <w:rFonts w:eastAsia="ＭＳ Ｐゴシック"/>
          <w:lang w:val="en-US"/>
        </w:rPr>
        <w:t>Option B2</w:t>
      </w:r>
      <w:r w:rsidR="00FF5B29">
        <w:rPr>
          <w:rFonts w:eastAsia="ＭＳ Ｐゴシック"/>
          <w:lang w:val="en-US"/>
        </w:rPr>
        <w:t xml:space="preserve"> is a natural extension of n71</w:t>
      </w:r>
      <w:r>
        <w:rPr>
          <w:rFonts w:eastAsia="ＭＳ Ｐゴシック"/>
          <w:lang w:val="en-US"/>
        </w:rPr>
        <w:t xml:space="preserve"> and</w:t>
      </w:r>
      <w:r w:rsidR="00FF5B29">
        <w:rPr>
          <w:rFonts w:eastAsia="ＭＳ Ｐゴシック"/>
          <w:lang w:val="en-US"/>
        </w:rPr>
        <w:t xml:space="preserve"> </w:t>
      </w:r>
      <w:r>
        <w:rPr>
          <w:rFonts w:eastAsia="ＭＳ Ｐゴシック"/>
          <w:lang w:val="en-US"/>
        </w:rPr>
        <w:t>UE</w:t>
      </w:r>
      <w:r w:rsidR="00FF5B29">
        <w:rPr>
          <w:rFonts w:eastAsia="ＭＳ Ｐゴシック"/>
          <w:lang w:val="en-US"/>
        </w:rPr>
        <w:t xml:space="preserve"> capable </w:t>
      </w:r>
      <w:r>
        <w:rPr>
          <w:rFonts w:eastAsia="ＭＳ Ｐゴシック"/>
          <w:lang w:val="en-US"/>
        </w:rPr>
        <w:t xml:space="preserve">of B2 </w:t>
      </w:r>
      <w:r w:rsidR="00FF5B29">
        <w:rPr>
          <w:rFonts w:eastAsia="ＭＳ Ｐゴシック"/>
          <w:lang w:val="en-US"/>
        </w:rPr>
        <w:t>can also support n71</w:t>
      </w:r>
      <w:r>
        <w:rPr>
          <w:rFonts w:eastAsia="ＭＳ Ｐゴシック"/>
          <w:lang w:val="en-US"/>
        </w:rPr>
        <w:t>. B2 capable UE</w:t>
      </w:r>
      <w:r w:rsidR="00FF5B29">
        <w:rPr>
          <w:rFonts w:eastAsia="ＭＳ Ｐゴシック"/>
          <w:lang w:val="en-US"/>
        </w:rPr>
        <w:t xml:space="preserve"> can be roamed into the network only deployed with band n71. Furthermore, the network deploying </w:t>
      </w:r>
      <w:r w:rsidR="00F1359B">
        <w:rPr>
          <w:rFonts w:eastAsia="ＭＳ Ｐゴシック"/>
          <w:lang w:val="en-US"/>
        </w:rPr>
        <w:t>B2</w:t>
      </w:r>
      <w:r w:rsidR="00FF5B29">
        <w:rPr>
          <w:rFonts w:eastAsia="ＭＳ Ｐゴシック"/>
          <w:lang w:val="en-US"/>
        </w:rPr>
        <w:t xml:space="preserve"> can also accept the roaming UE only capable of n71 using the MFBI mechanism; i.e., network broadcasts both n71 and </w:t>
      </w:r>
      <w:r w:rsidR="00E20C12">
        <w:rPr>
          <w:rFonts w:eastAsia="ＭＳ Ｐゴシック"/>
          <w:lang w:val="en-US"/>
        </w:rPr>
        <w:t>B2</w:t>
      </w:r>
      <w:r w:rsidR="00FF5B29">
        <w:rPr>
          <w:rFonts w:eastAsia="ＭＳ Ｐゴシック"/>
          <w:lang w:val="en-US"/>
        </w:rPr>
        <w:t xml:space="preserve"> band.</w:t>
      </w:r>
      <w:r w:rsidR="00A40FBD">
        <w:rPr>
          <w:rFonts w:eastAsia="ＭＳ Ｐゴシック"/>
          <w:lang w:val="en-US"/>
        </w:rPr>
        <w:t xml:space="preserve"> Thus </w:t>
      </w:r>
      <w:r w:rsidR="00E20C12">
        <w:rPr>
          <w:rFonts w:eastAsia="ＭＳ Ｐゴシック"/>
          <w:lang w:val="en-US"/>
        </w:rPr>
        <w:t xml:space="preserve">the addition of B2 </w:t>
      </w:r>
      <w:r w:rsidR="00A40FBD">
        <w:rPr>
          <w:rFonts w:eastAsia="ＭＳ Ｐゴシック"/>
          <w:lang w:val="en-US"/>
        </w:rPr>
        <w:t>is not harmful to n71 ecosystem.</w:t>
      </w:r>
      <w:r w:rsidR="00491315">
        <w:rPr>
          <w:rFonts w:eastAsia="ＭＳ Ｐゴシック"/>
          <w:lang w:val="en-US"/>
        </w:rPr>
        <w:t xml:space="preserve"> In summary, it is discouraged for APT/AWG to proceed with B1.</w:t>
      </w:r>
    </w:p>
    <w:p w14:paraId="3712B3EF" w14:textId="3A56DEB8" w:rsidR="00557C3D" w:rsidRDefault="00557C3D" w:rsidP="00557C3D">
      <w:pPr>
        <w:rPr>
          <w:rFonts w:eastAsia="ＭＳ Ｐゴシック"/>
          <w:b/>
          <w:bCs/>
          <w:i/>
          <w:iCs/>
          <w:lang w:val="en-US"/>
        </w:rPr>
      </w:pPr>
      <w:r>
        <w:rPr>
          <w:rFonts w:eastAsia="ＭＳ Ｐゴシック"/>
          <w:b/>
          <w:bCs/>
          <w:i/>
          <w:iCs/>
          <w:lang w:val="en-US"/>
        </w:rPr>
        <w:t xml:space="preserve">Observation </w:t>
      </w:r>
      <w:r w:rsidR="00C87C13">
        <w:rPr>
          <w:rFonts w:eastAsia="ＭＳ Ｐゴシック"/>
          <w:b/>
          <w:bCs/>
          <w:i/>
          <w:iCs/>
          <w:lang w:val="en-US"/>
        </w:rPr>
        <w:t>3</w:t>
      </w:r>
      <w:r>
        <w:rPr>
          <w:rFonts w:eastAsia="ＭＳ Ｐゴシック"/>
          <w:b/>
          <w:bCs/>
          <w:i/>
          <w:iCs/>
          <w:lang w:val="en-US"/>
        </w:rPr>
        <w:t>: Option B2 is more harmonized with band n71 in terms of UE implementation and duplexer performance.</w:t>
      </w:r>
    </w:p>
    <w:p w14:paraId="29470871" w14:textId="099FA4C5" w:rsidR="00557C3D" w:rsidRDefault="00557C3D" w:rsidP="00557C3D">
      <w:pPr>
        <w:rPr>
          <w:rFonts w:eastAsia="ＭＳ Ｐゴシック"/>
          <w:b/>
          <w:bCs/>
          <w:i/>
          <w:iCs/>
          <w:lang w:val="en-US"/>
        </w:rPr>
      </w:pPr>
      <w:r>
        <w:rPr>
          <w:rFonts w:eastAsia="ＭＳ Ｐゴシック"/>
          <w:b/>
          <w:bCs/>
          <w:i/>
          <w:iCs/>
          <w:lang w:val="en-US"/>
        </w:rPr>
        <w:t xml:space="preserve">Observation </w:t>
      </w:r>
      <w:r w:rsidR="00C87C13">
        <w:rPr>
          <w:rFonts w:eastAsia="ＭＳ Ｐゴシック"/>
          <w:b/>
          <w:bCs/>
          <w:i/>
          <w:iCs/>
          <w:lang w:val="en-US"/>
        </w:rPr>
        <w:t>4</w:t>
      </w:r>
      <w:r>
        <w:rPr>
          <w:rFonts w:eastAsia="ＭＳ Ｐゴシック"/>
          <w:b/>
          <w:bCs/>
          <w:i/>
          <w:iCs/>
          <w:lang w:val="en-US"/>
        </w:rPr>
        <w:t xml:space="preserve">: Option B2 is a natural extension of n71 and is not harmful to n71 ecosystem. </w:t>
      </w:r>
    </w:p>
    <w:p w14:paraId="46B8CB9D" w14:textId="77777777" w:rsidR="00C800FA" w:rsidRDefault="00C800FA" w:rsidP="00C800FA">
      <w:pPr>
        <w:rPr>
          <w:rFonts w:eastAsia="ＭＳ Ｐゴシック"/>
          <w:b/>
          <w:bCs/>
          <w:i/>
          <w:iCs/>
          <w:lang w:val="en-US"/>
        </w:rPr>
      </w:pPr>
      <w:r>
        <w:rPr>
          <w:rFonts w:eastAsia="ＭＳ Ｐゴシック"/>
          <w:b/>
          <w:bCs/>
          <w:i/>
          <w:iCs/>
          <w:lang w:val="en-US"/>
        </w:rPr>
        <w:t>Proposal 1: Option B1 shall be discouraged for APT/AWG to proceed.</w:t>
      </w:r>
    </w:p>
    <w:p w14:paraId="11FD8A8C" w14:textId="77777777" w:rsidR="00C800FA" w:rsidRDefault="00C800FA" w:rsidP="00557C3D">
      <w:pPr>
        <w:rPr>
          <w:rFonts w:eastAsia="ＭＳ Ｐゴシック"/>
          <w:b/>
          <w:bCs/>
          <w:i/>
          <w:iCs/>
          <w:lang w:val="en-US"/>
        </w:rPr>
      </w:pPr>
    </w:p>
    <w:p w14:paraId="1B45B414" w14:textId="14F29A35" w:rsidR="00CA39FF" w:rsidRDefault="00CA39FF" w:rsidP="00D14595">
      <w:pPr>
        <w:rPr>
          <w:rFonts w:eastAsia="ＭＳ Ｐゴシック"/>
          <w:lang w:val="en-US"/>
        </w:rPr>
      </w:pPr>
      <w:r>
        <w:rPr>
          <w:rFonts w:eastAsia="ＭＳ Ｐゴシック"/>
          <w:lang w:val="en-US"/>
        </w:rPr>
        <w:t>The</w:t>
      </w:r>
      <w:r w:rsidR="00557C3D">
        <w:rPr>
          <w:rFonts w:eastAsia="ＭＳ Ｐゴシック"/>
          <w:lang w:val="en-US"/>
        </w:rPr>
        <w:t>re are several options in the</w:t>
      </w:r>
      <w:r>
        <w:rPr>
          <w:rFonts w:eastAsia="ＭＳ Ｐゴシック"/>
          <w:lang w:val="en-US"/>
        </w:rPr>
        <w:t xml:space="preserve"> upper duplexer passband</w:t>
      </w:r>
      <w:r w:rsidR="00557C3D">
        <w:rPr>
          <w:rFonts w:eastAsia="ＭＳ Ｐゴシック"/>
          <w:lang w:val="en-US"/>
        </w:rPr>
        <w:t xml:space="preserve"> band</w:t>
      </w:r>
      <w:r>
        <w:rPr>
          <w:rFonts w:eastAsia="ＭＳ Ｐゴシック"/>
          <w:lang w:val="en-US"/>
        </w:rPr>
        <w:t xml:space="preserve">width </w:t>
      </w:r>
      <w:r w:rsidR="00557C3D">
        <w:rPr>
          <w:rFonts w:eastAsia="ＭＳ Ｐゴシック"/>
          <w:lang w:val="en-US"/>
        </w:rPr>
        <w:t xml:space="preserve">in option B2. The selection of the bandwidth can be up to UE implementation as far as UE can support the maximum channel bandwidth of the band in any carrier frequency. </w:t>
      </w:r>
      <w:r w:rsidR="00F717D0">
        <w:rPr>
          <w:rFonts w:eastAsia="ＭＳ Ｐゴシック"/>
          <w:lang w:val="en-US"/>
        </w:rPr>
        <w:t>I</w:t>
      </w:r>
      <w:r w:rsidR="00557C3D">
        <w:rPr>
          <w:rFonts w:eastAsia="ＭＳ Ｐゴシック"/>
          <w:lang w:val="en-US"/>
        </w:rPr>
        <w:t xml:space="preserve">f the upper duplexer bandwidth is only 10 MHz, 20 MHz channel bandwidth 683-703 MHz cannot be supported </w:t>
      </w:r>
      <w:r w:rsidR="00514AEA">
        <w:rPr>
          <w:rFonts w:eastAsia="ＭＳ Ｐゴシック"/>
          <w:lang w:val="en-US"/>
        </w:rPr>
        <w:t>because</w:t>
      </w:r>
      <w:r w:rsidR="00557C3D">
        <w:rPr>
          <w:rFonts w:eastAsia="ＭＳ Ｐゴシック"/>
          <w:lang w:val="en-US"/>
        </w:rPr>
        <w:t xml:space="preserve"> such channel bandwidth </w:t>
      </w:r>
      <w:r w:rsidR="00F717D0">
        <w:rPr>
          <w:rFonts w:eastAsia="ＭＳ Ｐゴシック"/>
          <w:lang w:val="en-US"/>
        </w:rPr>
        <w:t>is not covered</w:t>
      </w:r>
      <w:r w:rsidR="00557C3D">
        <w:rPr>
          <w:rFonts w:eastAsia="ＭＳ Ｐゴシック"/>
          <w:lang w:val="en-US"/>
        </w:rPr>
        <w:t xml:space="preserve"> in </w:t>
      </w:r>
      <w:r w:rsidR="00CD18E0">
        <w:rPr>
          <w:rFonts w:eastAsia="ＭＳ Ｐゴシック"/>
          <w:lang w:val="en-US"/>
        </w:rPr>
        <w:t>the upper duplexer of 10 MHz</w:t>
      </w:r>
      <w:r w:rsidR="00557C3D">
        <w:rPr>
          <w:rFonts w:eastAsia="ＭＳ Ｐゴシック"/>
          <w:lang w:val="en-US"/>
        </w:rPr>
        <w:t xml:space="preserve">; only one </w:t>
      </w:r>
      <w:r w:rsidR="00F717D0">
        <w:rPr>
          <w:rFonts w:eastAsia="ＭＳ Ｐゴシック"/>
          <w:lang w:val="en-US"/>
        </w:rPr>
        <w:t xml:space="preserve">of the </w:t>
      </w:r>
      <w:r w:rsidR="00557C3D">
        <w:rPr>
          <w:rFonts w:eastAsia="ＭＳ Ｐゴシック"/>
          <w:lang w:val="en-US"/>
        </w:rPr>
        <w:t>duplexer</w:t>
      </w:r>
      <w:r w:rsidR="00F717D0">
        <w:rPr>
          <w:rFonts w:eastAsia="ＭＳ Ｐゴシック"/>
          <w:lang w:val="en-US"/>
        </w:rPr>
        <w:t>s</w:t>
      </w:r>
      <w:r w:rsidR="00557C3D">
        <w:rPr>
          <w:rFonts w:eastAsia="ＭＳ Ｐゴシック"/>
          <w:lang w:val="en-US"/>
        </w:rPr>
        <w:t xml:space="preserve"> can be activated by switching.</w:t>
      </w:r>
      <w:r w:rsidR="00CD18E0">
        <w:rPr>
          <w:rFonts w:eastAsia="ＭＳ Ｐゴシック"/>
          <w:lang w:val="en-US"/>
        </w:rPr>
        <w:t xml:space="preserve"> If the maximum channel bandwidth is 20 MHz, the passband of upper duplexer shall be at least </w:t>
      </w:r>
      <w:r w:rsidR="00F717D0">
        <w:rPr>
          <w:rFonts w:eastAsia="ＭＳ Ｐゴシック"/>
          <w:lang w:val="en-US"/>
        </w:rPr>
        <w:t>20+5=</w:t>
      </w:r>
      <w:r w:rsidR="00CD18E0">
        <w:rPr>
          <w:rFonts w:eastAsia="ＭＳ Ｐゴシック"/>
          <w:lang w:val="en-US"/>
        </w:rPr>
        <w:t xml:space="preserve">25 MHz. </w:t>
      </w:r>
      <w:r w:rsidR="00F717D0">
        <w:rPr>
          <w:rFonts w:eastAsia="ＭＳ Ｐゴシック"/>
          <w:lang w:val="en-US"/>
        </w:rPr>
        <w:t>I</w:t>
      </w:r>
      <w:r w:rsidR="00CD18E0">
        <w:rPr>
          <w:rFonts w:eastAsia="ＭＳ Ｐゴシック"/>
          <w:lang w:val="en-US"/>
        </w:rPr>
        <w:t>f the upper duplexer passband bandwidth is the same as the lower duplexer (i.e., n71 duplexer</w:t>
      </w:r>
      <w:r w:rsidR="00F717D0">
        <w:rPr>
          <w:rFonts w:eastAsia="ＭＳ Ｐゴシック"/>
          <w:lang w:val="en-US"/>
        </w:rPr>
        <w:t xml:space="preserve"> = 35 MHz</w:t>
      </w:r>
      <w:r w:rsidR="00CD18E0">
        <w:rPr>
          <w:rFonts w:eastAsia="ＭＳ Ｐゴシック"/>
          <w:lang w:val="en-US"/>
        </w:rPr>
        <w:t xml:space="preserve">), then any channel bandwidth of n71 can be supported in APT600 as well. We can assume </w:t>
      </w:r>
      <w:r w:rsidR="00F717D0">
        <w:rPr>
          <w:rFonts w:eastAsia="ＭＳ Ｐゴシック"/>
          <w:lang w:val="en-US"/>
        </w:rPr>
        <w:t xml:space="preserve">that </w:t>
      </w:r>
      <w:r w:rsidR="00CD18E0">
        <w:rPr>
          <w:rFonts w:eastAsia="ＭＳ Ｐゴシック"/>
          <w:lang w:val="en-US"/>
        </w:rPr>
        <w:t xml:space="preserve">the upper duplexer </w:t>
      </w:r>
      <w:r w:rsidR="00843319">
        <w:rPr>
          <w:rFonts w:eastAsia="ＭＳ Ｐゴシック"/>
          <w:lang w:val="en-US"/>
        </w:rPr>
        <w:t xml:space="preserve">passband </w:t>
      </w:r>
      <w:r w:rsidR="00CD18E0">
        <w:rPr>
          <w:rFonts w:eastAsia="ＭＳ Ｐゴシック"/>
          <w:lang w:val="en-US"/>
        </w:rPr>
        <w:t xml:space="preserve">35 MHz </w:t>
      </w:r>
      <w:r w:rsidR="00843319">
        <w:rPr>
          <w:rFonts w:eastAsia="ＭＳ Ｐゴシック"/>
          <w:lang w:val="en-US"/>
        </w:rPr>
        <w:t xml:space="preserve">for the requirement baseline </w:t>
      </w:r>
      <w:r w:rsidR="00CD18E0">
        <w:rPr>
          <w:rFonts w:eastAsia="ＭＳ Ｐゴシック"/>
          <w:lang w:val="en-US"/>
        </w:rPr>
        <w:t>but actual implementation can be left to UE vendors.</w:t>
      </w:r>
    </w:p>
    <w:p w14:paraId="0A1D752A" w14:textId="27588E0D" w:rsidR="00A40FBD" w:rsidRPr="00A40FBD" w:rsidRDefault="00A40FBD" w:rsidP="00D14595">
      <w:pPr>
        <w:rPr>
          <w:rFonts w:eastAsia="ＭＳ Ｐゴシック"/>
          <w:b/>
          <w:bCs/>
          <w:i/>
          <w:iCs/>
          <w:lang w:val="en-US"/>
        </w:rPr>
      </w:pPr>
      <w:r w:rsidRPr="00A40FBD">
        <w:rPr>
          <w:rFonts w:eastAsia="ＭＳ Ｐゴシック"/>
          <w:b/>
          <w:bCs/>
          <w:i/>
          <w:iCs/>
          <w:lang w:val="en-US"/>
        </w:rPr>
        <w:t xml:space="preserve">Observation </w:t>
      </w:r>
      <w:r w:rsidR="00C87C13">
        <w:rPr>
          <w:rFonts w:eastAsia="ＭＳ Ｐゴシック"/>
          <w:b/>
          <w:bCs/>
          <w:i/>
          <w:iCs/>
          <w:lang w:val="en-US"/>
        </w:rPr>
        <w:t>5</w:t>
      </w:r>
      <w:r w:rsidRPr="00A40FBD">
        <w:rPr>
          <w:rFonts w:eastAsia="ＭＳ Ｐゴシック"/>
          <w:b/>
          <w:bCs/>
          <w:i/>
          <w:iCs/>
          <w:lang w:val="en-US"/>
        </w:rPr>
        <w:t>: The upper duplexer passband bandwidth can be up to UE implementation as far as UE can support any channel bandwidth in any carrier frequency within the band</w:t>
      </w:r>
      <w:r w:rsidR="00843319">
        <w:rPr>
          <w:rFonts w:eastAsia="ＭＳ Ｐゴシック"/>
          <w:b/>
          <w:bCs/>
          <w:i/>
          <w:iCs/>
          <w:lang w:val="en-US"/>
        </w:rPr>
        <w:t xml:space="preserve"> and </w:t>
      </w:r>
      <w:r w:rsidR="008F7759">
        <w:rPr>
          <w:rFonts w:eastAsia="ＭＳ Ｐゴシック"/>
          <w:b/>
          <w:bCs/>
          <w:i/>
          <w:iCs/>
          <w:lang w:val="en-US"/>
        </w:rPr>
        <w:t xml:space="preserve">can </w:t>
      </w:r>
      <w:r w:rsidR="00843319">
        <w:rPr>
          <w:rFonts w:eastAsia="ＭＳ Ｐゴシック"/>
          <w:b/>
          <w:bCs/>
          <w:i/>
          <w:iCs/>
          <w:lang w:val="en-US"/>
        </w:rPr>
        <w:t>meet the same requirement as band n71 for the entire frequency range.</w:t>
      </w:r>
    </w:p>
    <w:p w14:paraId="0212C371" w14:textId="77777777" w:rsidR="007E537D" w:rsidRDefault="007E537D" w:rsidP="00557C3D">
      <w:pPr>
        <w:rPr>
          <w:rFonts w:eastAsia="ＭＳ Ｐゴシック"/>
          <w:lang w:val="en-US"/>
        </w:rPr>
      </w:pPr>
    </w:p>
    <w:p w14:paraId="12666CC2" w14:textId="4539B33A" w:rsidR="00A40FBD" w:rsidRDefault="007E537D" w:rsidP="00557C3D">
      <w:pPr>
        <w:rPr>
          <w:rFonts w:eastAsia="ＭＳ Ｐゴシック"/>
          <w:b/>
          <w:bCs/>
          <w:i/>
          <w:iCs/>
          <w:lang w:val="en-US"/>
        </w:rPr>
      </w:pPr>
      <w:r>
        <w:rPr>
          <w:rFonts w:eastAsia="ＭＳ Ｐゴシック"/>
          <w:lang w:val="en-US"/>
        </w:rPr>
        <w:t>T</w:t>
      </w:r>
      <w:r w:rsidR="00A40FBD">
        <w:rPr>
          <w:rFonts w:eastAsia="ＭＳ Ｐゴシック"/>
          <w:lang w:val="en-US"/>
        </w:rPr>
        <w:t xml:space="preserve">he UE RF requirement such as MOP and REFSENS </w:t>
      </w:r>
      <w:r w:rsidR="00DC1779">
        <w:rPr>
          <w:rFonts w:eastAsia="ＭＳ Ｐゴシック"/>
          <w:lang w:val="en-US"/>
        </w:rPr>
        <w:t xml:space="preserve">are closely related to the insertion loss of the duplexer. It </w:t>
      </w:r>
      <w:r>
        <w:rPr>
          <w:rFonts w:eastAsia="ＭＳ Ｐゴシック"/>
          <w:lang w:val="en-US"/>
        </w:rPr>
        <w:t>can</w:t>
      </w:r>
      <w:r w:rsidR="00A40FBD">
        <w:rPr>
          <w:rFonts w:eastAsia="ＭＳ Ｐゴシック"/>
          <w:lang w:val="en-US"/>
        </w:rPr>
        <w:t xml:space="preserve"> be par with n71 if Option B2 </w:t>
      </w:r>
      <w:r w:rsidR="00DC1779">
        <w:rPr>
          <w:rFonts w:eastAsia="ＭＳ Ｐゴシック"/>
          <w:lang w:val="en-US"/>
        </w:rPr>
        <w:t xml:space="preserve">dual duplexer </w:t>
      </w:r>
      <w:r w:rsidR="00A40FBD">
        <w:rPr>
          <w:rFonts w:eastAsia="ＭＳ Ｐゴシック"/>
          <w:lang w:val="en-US"/>
        </w:rPr>
        <w:t>is assumed.</w:t>
      </w:r>
      <w:r w:rsidR="00DC1779">
        <w:rPr>
          <w:rFonts w:eastAsia="ＭＳ Ｐゴシック"/>
          <w:lang w:val="en-US"/>
        </w:rPr>
        <w:t xml:space="preserve"> Only frequency </w:t>
      </w:r>
      <w:r w:rsidR="00493ABC">
        <w:rPr>
          <w:rFonts w:eastAsia="ＭＳ Ｐゴシック"/>
          <w:lang w:val="en-US"/>
        </w:rPr>
        <w:t>extension</w:t>
      </w:r>
      <w:r w:rsidR="00DC1779">
        <w:rPr>
          <w:rFonts w:eastAsia="ＭＳ Ｐゴシック"/>
          <w:lang w:val="en-US"/>
        </w:rPr>
        <w:t xml:space="preserve"> </w:t>
      </w:r>
      <w:r w:rsidR="00493ABC">
        <w:rPr>
          <w:rFonts w:eastAsia="ＭＳ Ｐゴシック"/>
          <w:lang w:val="en-US"/>
        </w:rPr>
        <w:t xml:space="preserve">should </w:t>
      </w:r>
      <w:r w:rsidR="00C0496E">
        <w:rPr>
          <w:rFonts w:eastAsia="ＭＳ Ｐゴシック"/>
          <w:lang w:val="en-US"/>
        </w:rPr>
        <w:t>be assumed</w:t>
      </w:r>
      <w:r w:rsidR="00292B9D">
        <w:rPr>
          <w:rFonts w:eastAsia="ＭＳ Ｐゴシック"/>
          <w:lang w:val="en-US"/>
        </w:rPr>
        <w:t>.</w:t>
      </w:r>
    </w:p>
    <w:p w14:paraId="79B3957E" w14:textId="4066D6DE" w:rsidR="00CA39FF" w:rsidRDefault="00CA39FF" w:rsidP="005522AE">
      <w:pPr>
        <w:rPr>
          <w:rFonts w:eastAsia="ＭＳ Ｐゴシック"/>
          <w:b/>
          <w:bCs/>
          <w:i/>
          <w:iCs/>
          <w:lang w:val="en-US"/>
        </w:rPr>
      </w:pPr>
      <w:r>
        <w:rPr>
          <w:rFonts w:eastAsia="ＭＳ Ｐゴシック"/>
          <w:b/>
          <w:bCs/>
          <w:i/>
          <w:iCs/>
          <w:lang w:val="en-US"/>
        </w:rPr>
        <w:t xml:space="preserve">Proposal </w:t>
      </w:r>
      <w:r w:rsidR="00F91187">
        <w:rPr>
          <w:rFonts w:eastAsia="ＭＳ Ｐゴシック"/>
          <w:b/>
          <w:bCs/>
          <w:i/>
          <w:iCs/>
          <w:lang w:val="en-US"/>
        </w:rPr>
        <w:t>2</w:t>
      </w:r>
      <w:r>
        <w:rPr>
          <w:rFonts w:eastAsia="ＭＳ Ｐゴシック"/>
          <w:b/>
          <w:bCs/>
          <w:i/>
          <w:iCs/>
          <w:lang w:val="en-US"/>
        </w:rPr>
        <w:t>: UE RF requirement such as MOP</w:t>
      </w:r>
      <w:r w:rsidR="007B325B">
        <w:rPr>
          <w:rFonts w:eastAsia="ＭＳ Ｐゴシック"/>
          <w:b/>
          <w:bCs/>
          <w:i/>
          <w:iCs/>
          <w:lang w:val="en-US"/>
        </w:rPr>
        <w:t xml:space="preserve"> and </w:t>
      </w:r>
      <w:r>
        <w:rPr>
          <w:rFonts w:eastAsia="ＭＳ Ｐゴシック"/>
          <w:b/>
          <w:bCs/>
          <w:i/>
          <w:iCs/>
          <w:lang w:val="en-US"/>
        </w:rPr>
        <w:t>REFSENS shall be the same as n71.</w:t>
      </w:r>
    </w:p>
    <w:p w14:paraId="7BF117E5" w14:textId="77777777" w:rsidR="007B325B" w:rsidRDefault="004A2911" w:rsidP="004A2911">
      <w:pPr>
        <w:rPr>
          <w:rFonts w:eastAsia="ＭＳ Ｐゴシック"/>
          <w:lang w:val="en-US"/>
        </w:rPr>
      </w:pPr>
      <w:r>
        <w:rPr>
          <w:rFonts w:eastAsia="ＭＳ Ｐゴシック"/>
          <w:lang w:val="en-US"/>
        </w:rPr>
        <w:t>A potential issue</w:t>
      </w:r>
      <w:r w:rsidR="007B325B">
        <w:rPr>
          <w:rFonts w:eastAsia="ＭＳ Ｐゴシック"/>
          <w:lang w:val="en-US"/>
        </w:rPr>
        <w:t xml:space="preserve"> </w:t>
      </w:r>
      <w:r>
        <w:rPr>
          <w:rFonts w:eastAsia="ＭＳ Ｐゴシック"/>
          <w:lang w:val="en-US"/>
        </w:rPr>
        <w:t xml:space="preserve">is the </w:t>
      </w:r>
      <w:r w:rsidR="00CB4461">
        <w:rPr>
          <w:rFonts w:eastAsia="ＭＳ Ｐゴシック"/>
          <w:lang w:val="en-US"/>
        </w:rPr>
        <w:t>protection of</w:t>
      </w:r>
      <w:r>
        <w:rPr>
          <w:rFonts w:eastAsia="ＭＳ Ｐゴシック"/>
          <w:lang w:val="en-US"/>
        </w:rPr>
        <w:t xml:space="preserve"> own downlink ban</w:t>
      </w:r>
      <w:r w:rsidR="00CA5F17">
        <w:rPr>
          <w:rFonts w:eastAsia="ＭＳ Ｐゴシック"/>
          <w:lang w:val="en-US"/>
        </w:rPr>
        <w:t>d</w:t>
      </w:r>
      <w:r w:rsidR="007B325B">
        <w:rPr>
          <w:rFonts w:eastAsia="ＭＳ Ｐゴシック"/>
          <w:lang w:val="en-US"/>
        </w:rPr>
        <w:t xml:space="preserve"> at the level of -50 dBm/MHz, which is required for band n71 UE</w:t>
      </w:r>
      <w:r w:rsidR="00CB4461">
        <w:rPr>
          <w:rFonts w:eastAsia="ＭＳ Ｐゴシック"/>
          <w:lang w:val="en-US"/>
        </w:rPr>
        <w:t>. T</w:t>
      </w:r>
      <w:r>
        <w:rPr>
          <w:rFonts w:eastAsia="ＭＳ Ｐゴシック"/>
          <w:lang w:val="en-US"/>
        </w:rPr>
        <w:t xml:space="preserve">he </w:t>
      </w:r>
      <w:r w:rsidR="00CA5F17">
        <w:rPr>
          <w:rFonts w:eastAsia="ＭＳ Ｐゴシック"/>
          <w:lang w:val="en-US"/>
        </w:rPr>
        <w:t>6 M</w:t>
      </w:r>
      <w:r w:rsidR="006F47FD">
        <w:rPr>
          <w:rFonts w:eastAsia="ＭＳ Ｐゴシック"/>
          <w:lang w:val="en-US"/>
        </w:rPr>
        <w:t>H</w:t>
      </w:r>
      <w:r w:rsidR="00CA5F17">
        <w:rPr>
          <w:rFonts w:eastAsia="ＭＳ Ｐゴシック"/>
          <w:lang w:val="en-US"/>
        </w:rPr>
        <w:t xml:space="preserve">z frequency gap between UL and DL </w:t>
      </w:r>
      <w:r w:rsidR="007B325B">
        <w:rPr>
          <w:rFonts w:eastAsia="ＭＳ Ｐゴシック"/>
          <w:lang w:val="en-US"/>
        </w:rPr>
        <w:t xml:space="preserve">in Option B2 </w:t>
      </w:r>
      <w:r w:rsidR="00CA5F17">
        <w:rPr>
          <w:rFonts w:eastAsia="ＭＳ Ｐゴシック"/>
          <w:lang w:val="en-US"/>
        </w:rPr>
        <w:t xml:space="preserve">is challenging for UE filter design to protect </w:t>
      </w:r>
      <w:r w:rsidR="00CB4461">
        <w:rPr>
          <w:rFonts w:eastAsia="ＭＳ Ｐゴシック"/>
          <w:lang w:val="en-US"/>
        </w:rPr>
        <w:t>its</w:t>
      </w:r>
      <w:r w:rsidR="00CA5F17">
        <w:rPr>
          <w:rFonts w:eastAsia="ＭＳ Ｐゴシック"/>
          <w:lang w:val="en-US"/>
        </w:rPr>
        <w:t xml:space="preserve"> DL band</w:t>
      </w:r>
      <w:r w:rsidR="006F47FD">
        <w:rPr>
          <w:rFonts w:eastAsia="ＭＳ Ｐゴシック"/>
          <w:lang w:val="en-US"/>
        </w:rPr>
        <w:t xml:space="preserve"> </w:t>
      </w:r>
      <w:r w:rsidR="007B325B">
        <w:rPr>
          <w:rFonts w:eastAsia="ＭＳ Ｐゴシック"/>
          <w:lang w:val="en-US"/>
        </w:rPr>
        <w:t xml:space="preserve">in the second duplexer, i.e., the frequency range of 652-657 MHz cannot be protected by UE using the first duplexer, in the same way as the UE using the second duplexer. </w:t>
      </w:r>
    </w:p>
    <w:p w14:paraId="1F19C0D0" w14:textId="7994A6B4" w:rsidR="004A2911" w:rsidRDefault="00CA5F17" w:rsidP="004A2911">
      <w:pPr>
        <w:rPr>
          <w:rFonts w:eastAsia="ＭＳ Ｐゴシック"/>
          <w:b/>
          <w:bCs/>
          <w:i/>
          <w:iCs/>
          <w:lang w:val="en-US"/>
        </w:rPr>
      </w:pPr>
      <w:r>
        <w:rPr>
          <w:rFonts w:eastAsia="ＭＳ Ｐゴシック"/>
          <w:lang w:val="en-US"/>
        </w:rPr>
        <w:t xml:space="preserve">One solution previously used is </w:t>
      </w:r>
      <w:r w:rsidR="006F47FD">
        <w:rPr>
          <w:rFonts w:eastAsia="ＭＳ Ｐゴシック"/>
          <w:lang w:val="en-US"/>
        </w:rPr>
        <w:t xml:space="preserve">the introduction of </w:t>
      </w:r>
      <w:r>
        <w:rPr>
          <w:rFonts w:eastAsia="ＭＳ Ｐゴシック"/>
          <w:lang w:val="en-US"/>
        </w:rPr>
        <w:t>NS and A-MPR</w:t>
      </w:r>
      <w:r w:rsidR="007B325B">
        <w:rPr>
          <w:rFonts w:eastAsia="ＭＳ Ｐゴシック"/>
          <w:lang w:val="en-US"/>
        </w:rPr>
        <w:t xml:space="preserve">, e.g., </w:t>
      </w:r>
      <w:r w:rsidR="006F47FD">
        <w:rPr>
          <w:rFonts w:eastAsia="ＭＳ Ｐゴシック"/>
          <w:lang w:val="en-US"/>
        </w:rPr>
        <w:t>NS_3</w:t>
      </w:r>
      <w:r w:rsidR="00CB4461">
        <w:rPr>
          <w:rFonts w:eastAsia="ＭＳ Ｐゴシック"/>
          <w:lang w:val="en-US"/>
        </w:rPr>
        <w:t>9</w:t>
      </w:r>
      <w:r w:rsidR="006F47FD">
        <w:rPr>
          <w:rFonts w:eastAsia="ＭＳ Ｐゴシック"/>
          <w:lang w:val="en-US"/>
        </w:rPr>
        <w:t xml:space="preserve"> for band n74</w:t>
      </w:r>
      <w:r w:rsidR="00CB4461">
        <w:rPr>
          <w:rFonts w:eastAsia="ＭＳ Ｐゴシック"/>
          <w:lang w:val="en-US"/>
        </w:rPr>
        <w:t>.</w:t>
      </w:r>
      <w:r w:rsidR="007B325B">
        <w:rPr>
          <w:rFonts w:eastAsia="ＭＳ Ｐゴシック"/>
          <w:lang w:val="en-US"/>
        </w:rPr>
        <w:t xml:space="preserve"> The NS can indicate the protection level of its own downlink band and allowed power reductions. Such NS can be only used when 652-657 MHz needs to be protected by the UE using the first duplexer, therefore, there is no impact or change to UE operation for n71 by not using such NS. In case -50 dBm/mMHz level is too stringent or requires too large A-MPR, the relaxation of protection level can be further considered (like done in NS_39, where -28dBm/MHz is used). There is also some relaxed protection level to -40 dBm/MHz for nearby bands protections.</w:t>
      </w:r>
    </w:p>
    <w:p w14:paraId="42CC918B" w14:textId="70372F79" w:rsidR="004A2911" w:rsidRPr="00A37D5D" w:rsidRDefault="004A2911" w:rsidP="004A2911">
      <w:pPr>
        <w:rPr>
          <w:rFonts w:eastAsia="ＭＳ Ｐゴシック"/>
          <w:b/>
          <w:bCs/>
          <w:i/>
          <w:iCs/>
          <w:lang w:val="en-US"/>
        </w:rPr>
      </w:pPr>
      <w:r>
        <w:rPr>
          <w:rFonts w:eastAsia="ＭＳ Ｐゴシック"/>
          <w:b/>
          <w:bCs/>
          <w:i/>
          <w:iCs/>
          <w:lang w:val="en-US"/>
        </w:rPr>
        <w:t>Proposal 3: For the protection of own downlink band, NS and A-MPR</w:t>
      </w:r>
      <w:r w:rsidR="00CA5F17">
        <w:rPr>
          <w:rFonts w:eastAsia="ＭＳ Ｐゴシック"/>
          <w:b/>
          <w:bCs/>
          <w:i/>
          <w:iCs/>
          <w:lang w:val="en-US"/>
        </w:rPr>
        <w:t xml:space="preserve"> </w:t>
      </w:r>
      <w:r w:rsidR="007B325B">
        <w:rPr>
          <w:rFonts w:eastAsia="ＭＳ Ｐゴシック"/>
          <w:b/>
          <w:bCs/>
          <w:i/>
          <w:iCs/>
          <w:lang w:val="en-US"/>
        </w:rPr>
        <w:t>solution</w:t>
      </w:r>
      <w:r w:rsidR="00CB4461">
        <w:rPr>
          <w:rFonts w:eastAsia="ＭＳ Ｐゴシック"/>
          <w:b/>
          <w:bCs/>
          <w:i/>
          <w:iCs/>
          <w:lang w:val="en-US"/>
        </w:rPr>
        <w:t xml:space="preserve"> is further </w:t>
      </w:r>
      <w:r w:rsidR="007B325B">
        <w:rPr>
          <w:rFonts w:eastAsia="ＭＳ Ｐゴシック"/>
          <w:b/>
          <w:bCs/>
          <w:i/>
          <w:iCs/>
          <w:lang w:val="en-US"/>
        </w:rPr>
        <w:t>studied.</w:t>
      </w:r>
    </w:p>
    <w:p w14:paraId="0A48A34D" w14:textId="77777777" w:rsidR="007B325B" w:rsidRDefault="007B325B" w:rsidP="00D14595">
      <w:pPr>
        <w:rPr>
          <w:rFonts w:eastAsia="ＭＳ Ｐゴシック"/>
          <w:lang w:val="en-US"/>
        </w:rPr>
      </w:pPr>
    </w:p>
    <w:p w14:paraId="2FEB1347" w14:textId="6C2D73B6" w:rsidR="005864B5" w:rsidRDefault="005864B5" w:rsidP="00D14595">
      <w:pPr>
        <w:rPr>
          <w:rFonts w:eastAsia="ＭＳ Ｐゴシック"/>
          <w:lang w:val="en-US"/>
        </w:rPr>
      </w:pPr>
      <w:r>
        <w:rPr>
          <w:rFonts w:eastAsia="ＭＳ Ｐゴシック"/>
          <w:lang w:val="en-US"/>
        </w:rPr>
        <w:t xml:space="preserve">There has been a proposal to consider </w:t>
      </w:r>
      <w:r w:rsidRPr="005864B5">
        <w:rPr>
          <w:rFonts w:eastAsia="ＭＳ Ｐゴシック"/>
          <w:lang w:val="en-US"/>
        </w:rPr>
        <w:t xml:space="preserve">two band approach (called Band 71 + Band nX) </w:t>
      </w:r>
      <w:r w:rsidR="00307FF4">
        <w:rPr>
          <w:rFonts w:eastAsia="ＭＳ Ｐゴシック"/>
          <w:lang w:val="en-US"/>
        </w:rPr>
        <w:t>s</w:t>
      </w:r>
      <w:r w:rsidR="00942E71">
        <w:rPr>
          <w:rFonts w:eastAsia="ＭＳ Ｐゴシック"/>
          <w:lang w:val="en-US"/>
        </w:rPr>
        <w:t>o</w:t>
      </w:r>
      <w:r w:rsidR="00307FF4">
        <w:rPr>
          <w:rFonts w:eastAsia="ＭＳ Ｐゴシック"/>
          <w:lang w:val="en-US"/>
        </w:rPr>
        <w:t xml:space="preserve"> that </w:t>
      </w:r>
      <w:r w:rsidRPr="005864B5">
        <w:rPr>
          <w:rFonts w:eastAsia="ＭＳ Ｐゴシック"/>
          <w:lang w:val="en-US"/>
        </w:rPr>
        <w:t>the extended frequency</w:t>
      </w:r>
      <w:r w:rsidR="00307FF4">
        <w:rPr>
          <w:rFonts w:eastAsia="ＭＳ Ｐゴシック"/>
          <w:lang w:val="en-US"/>
        </w:rPr>
        <w:t xml:space="preserve"> range is covered by a new band nX</w:t>
      </w:r>
      <w:r w:rsidRPr="005864B5">
        <w:rPr>
          <w:rFonts w:eastAsia="ＭＳ Ｐゴシック"/>
          <w:lang w:val="en-US"/>
        </w:rPr>
        <w:t xml:space="preserve">. </w:t>
      </w:r>
      <w:r>
        <w:rPr>
          <w:rFonts w:eastAsia="ＭＳ Ｐゴシック"/>
          <w:lang w:val="en-US"/>
        </w:rPr>
        <w:t xml:space="preserve">Such approach is also technically feasible as the second duplexer in Option B2 </w:t>
      </w:r>
      <w:r w:rsidR="00942E71">
        <w:rPr>
          <w:rFonts w:eastAsia="ＭＳ Ｐゴシック"/>
          <w:lang w:val="en-US"/>
        </w:rPr>
        <w:t>can be</w:t>
      </w:r>
      <w:r>
        <w:rPr>
          <w:rFonts w:eastAsia="ＭＳ Ｐゴシック"/>
          <w:lang w:val="en-US"/>
        </w:rPr>
        <w:t xml:space="preserve"> defined as a new band. </w:t>
      </w:r>
      <w:r w:rsidRPr="005864B5">
        <w:rPr>
          <w:rFonts w:eastAsia="ＭＳ Ｐゴシック"/>
          <w:lang w:val="en-US"/>
        </w:rPr>
        <w:t xml:space="preserve">However, </w:t>
      </w:r>
      <w:r w:rsidR="00942E71">
        <w:rPr>
          <w:rFonts w:eastAsia="ＭＳ Ｐゴシック"/>
          <w:lang w:val="en-US"/>
        </w:rPr>
        <w:t>this is not a favored solution by</w:t>
      </w:r>
      <w:r w:rsidRPr="005864B5">
        <w:rPr>
          <w:rFonts w:eastAsia="ＭＳ Ｐゴシック"/>
          <w:lang w:val="en-US"/>
        </w:rPr>
        <w:t xml:space="preserve"> APT/AWG</w:t>
      </w:r>
      <w:r w:rsidR="00942E71">
        <w:rPr>
          <w:rFonts w:eastAsia="ＭＳ Ｐゴシック"/>
          <w:lang w:val="en-US"/>
        </w:rPr>
        <w:t xml:space="preserve"> [8] and should be down prioritized in RAN4 study.</w:t>
      </w:r>
    </w:p>
    <w:p w14:paraId="5901F2BF" w14:textId="7C0A6251" w:rsidR="00942E71" w:rsidRDefault="00A37D5D" w:rsidP="00D14595">
      <w:pPr>
        <w:rPr>
          <w:rFonts w:eastAsia="ＭＳ Ｐゴシック"/>
          <w:lang w:val="en-US"/>
        </w:rPr>
      </w:pPr>
      <w:r>
        <w:rPr>
          <w:rFonts w:eastAsia="ＭＳ Ｐゴシック"/>
          <w:lang w:val="en-US"/>
        </w:rPr>
        <w:t xml:space="preserve">It is our view that </w:t>
      </w:r>
      <w:r w:rsidR="005E609B">
        <w:rPr>
          <w:rFonts w:eastAsia="ＭＳ Ｐゴシック"/>
          <w:lang w:val="en-US"/>
        </w:rPr>
        <w:t xml:space="preserve">options other than B1 and B2 </w:t>
      </w:r>
      <w:r w:rsidR="00270206">
        <w:rPr>
          <w:rFonts w:eastAsia="ＭＳ Ｐゴシック"/>
          <w:lang w:val="en-US"/>
        </w:rPr>
        <w:t>do not need to be studied</w:t>
      </w:r>
      <w:r>
        <w:rPr>
          <w:rFonts w:eastAsia="ＭＳ Ｐゴシック"/>
          <w:lang w:val="en-US"/>
        </w:rPr>
        <w:t xml:space="preserve"> in RAN4, </w:t>
      </w:r>
      <w:r w:rsidR="005E609B">
        <w:rPr>
          <w:rFonts w:eastAsia="ＭＳ Ｐゴシック"/>
          <w:lang w:val="en-US"/>
        </w:rPr>
        <w:t>since</w:t>
      </w:r>
      <w:r>
        <w:rPr>
          <w:rFonts w:eastAsia="ＭＳ Ｐゴシック"/>
          <w:lang w:val="en-US"/>
        </w:rPr>
        <w:t xml:space="preserve"> option B2 </w:t>
      </w:r>
      <w:r w:rsidR="005E609B">
        <w:rPr>
          <w:rFonts w:eastAsia="ＭＳ Ｐゴシック"/>
          <w:lang w:val="en-US"/>
        </w:rPr>
        <w:t>looks sufficient</w:t>
      </w:r>
      <w:r>
        <w:rPr>
          <w:rFonts w:eastAsia="ＭＳ Ｐゴシック"/>
          <w:lang w:val="en-US"/>
        </w:rPr>
        <w:t xml:space="preserve"> to </w:t>
      </w:r>
      <w:r w:rsidR="00270206">
        <w:rPr>
          <w:rFonts w:eastAsia="ＭＳ Ｐゴシック"/>
          <w:lang w:val="en-US"/>
        </w:rPr>
        <w:t>proceed</w:t>
      </w:r>
      <w:r>
        <w:rPr>
          <w:rFonts w:eastAsia="ＭＳ Ｐゴシック"/>
          <w:lang w:val="en-US"/>
        </w:rPr>
        <w:t xml:space="preserve"> this study </w:t>
      </w:r>
      <w:r w:rsidR="005E609B">
        <w:rPr>
          <w:rFonts w:eastAsia="ＭＳ Ｐゴシック"/>
          <w:lang w:val="en-US"/>
        </w:rPr>
        <w:t>for APT/AWG</w:t>
      </w:r>
      <w:r>
        <w:rPr>
          <w:rFonts w:eastAsia="ＭＳ Ｐゴシック"/>
          <w:lang w:val="en-US"/>
        </w:rPr>
        <w:t xml:space="preserve">. For example, a single duplexer 617-657/663-703 MHz </w:t>
      </w:r>
      <w:r w:rsidR="00942E71">
        <w:rPr>
          <w:rFonts w:eastAsia="ＭＳ Ｐゴシック"/>
          <w:lang w:val="en-US"/>
        </w:rPr>
        <w:t xml:space="preserve">might </w:t>
      </w:r>
      <w:r>
        <w:rPr>
          <w:rFonts w:eastAsia="ＭＳ Ｐゴシック"/>
          <w:lang w:val="en-US"/>
        </w:rPr>
        <w:t xml:space="preserve">be considered with 40 MHz passband. </w:t>
      </w:r>
      <w:r w:rsidR="00843319">
        <w:rPr>
          <w:rFonts w:eastAsia="ＭＳ Ｐゴシック"/>
          <w:lang w:val="en-US"/>
        </w:rPr>
        <w:t xml:space="preserve">Such implementation is </w:t>
      </w:r>
      <w:r w:rsidR="00084086">
        <w:rPr>
          <w:rFonts w:eastAsia="ＭＳ Ｐゴシック" w:hint="eastAsia"/>
          <w:lang w:val="en-US" w:eastAsia="ja-JP"/>
        </w:rPr>
        <w:t>not</w:t>
      </w:r>
      <w:r w:rsidR="00843319">
        <w:rPr>
          <w:rFonts w:eastAsia="ＭＳ Ｐゴシック"/>
          <w:lang w:val="en-US"/>
        </w:rPr>
        <w:t xml:space="preserve"> precluded</w:t>
      </w:r>
      <w:r>
        <w:rPr>
          <w:rFonts w:eastAsia="ＭＳ Ｐゴシック"/>
          <w:lang w:val="en-US"/>
        </w:rPr>
        <w:t xml:space="preserve"> as far as </w:t>
      </w:r>
      <w:r w:rsidR="00843319">
        <w:rPr>
          <w:rFonts w:eastAsia="ＭＳ Ｐゴシック"/>
          <w:lang w:val="en-US"/>
        </w:rPr>
        <w:t xml:space="preserve">the same </w:t>
      </w:r>
      <w:r>
        <w:rPr>
          <w:rFonts w:eastAsia="ＭＳ Ｐゴシック"/>
          <w:lang w:val="en-US"/>
        </w:rPr>
        <w:t>require</w:t>
      </w:r>
      <w:r w:rsidR="00843319">
        <w:rPr>
          <w:rFonts w:eastAsia="ＭＳ Ｐゴシック"/>
          <w:lang w:val="en-US"/>
        </w:rPr>
        <w:t xml:space="preserve">ment as B2 is fulfilled. </w:t>
      </w:r>
      <w:r w:rsidR="00AC56F6">
        <w:rPr>
          <w:rFonts w:eastAsia="ＭＳ Ｐゴシック"/>
          <w:lang w:val="en-US"/>
        </w:rPr>
        <w:t xml:space="preserve">However, if such </w:t>
      </w:r>
      <w:r w:rsidR="00F91187">
        <w:rPr>
          <w:rFonts w:eastAsia="ＭＳ Ｐゴシック"/>
          <w:lang w:val="en-US"/>
        </w:rPr>
        <w:t xml:space="preserve">implementation </w:t>
      </w:r>
      <w:r w:rsidR="00AC56F6">
        <w:rPr>
          <w:rFonts w:eastAsia="ＭＳ Ｐゴシック"/>
          <w:lang w:val="en-US"/>
        </w:rPr>
        <w:t xml:space="preserve">is considered as baseline, the relaxation of the performance is required, which </w:t>
      </w:r>
      <w:r w:rsidR="00843319">
        <w:rPr>
          <w:rFonts w:eastAsia="ＭＳ Ｐゴシック"/>
          <w:lang w:val="en-US"/>
        </w:rPr>
        <w:t>is against maintaining the ecosystem of band n71</w:t>
      </w:r>
      <w:r w:rsidR="00F91187">
        <w:rPr>
          <w:rFonts w:eastAsia="ＭＳ Ｐゴシック"/>
          <w:lang w:val="en-US"/>
        </w:rPr>
        <w:t xml:space="preserve"> as in observation 1 and proposal 2</w:t>
      </w:r>
      <w:r w:rsidR="00843319">
        <w:rPr>
          <w:rFonts w:eastAsia="ＭＳ Ｐゴシック"/>
          <w:lang w:val="en-US"/>
        </w:rPr>
        <w:t>.</w:t>
      </w:r>
    </w:p>
    <w:p w14:paraId="00E5F86E" w14:textId="1D51D986" w:rsidR="00942E71" w:rsidRPr="004C4673" w:rsidRDefault="00942E71" w:rsidP="00D14595">
      <w:pPr>
        <w:rPr>
          <w:rFonts w:eastAsia="ＭＳ Ｐゴシック"/>
          <w:b/>
          <w:bCs/>
          <w:i/>
          <w:iCs/>
          <w:lang w:val="en-US"/>
        </w:rPr>
      </w:pPr>
      <w:r w:rsidRPr="004C4673">
        <w:rPr>
          <w:rFonts w:eastAsia="ＭＳ Ｐゴシック"/>
          <w:b/>
          <w:bCs/>
          <w:i/>
          <w:iCs/>
          <w:lang w:val="en-US"/>
        </w:rPr>
        <w:t>Observation 5: Single duplexer implementation is not excluded as far as the requirement baseline based on dual duplexer assumption is fulfilled.</w:t>
      </w:r>
    </w:p>
    <w:p w14:paraId="2AC824A1" w14:textId="356AC0C7" w:rsidR="00F91187" w:rsidRPr="00A37D5D" w:rsidRDefault="005E609B" w:rsidP="00D14595">
      <w:pPr>
        <w:rPr>
          <w:rFonts w:eastAsia="ＭＳ Ｐゴシック"/>
          <w:b/>
          <w:bCs/>
          <w:i/>
          <w:iCs/>
          <w:lang w:val="en-US"/>
        </w:rPr>
      </w:pPr>
      <w:r>
        <w:rPr>
          <w:rFonts w:eastAsia="ＭＳ Ｐゴシック"/>
          <w:b/>
          <w:bCs/>
          <w:i/>
          <w:iCs/>
          <w:lang w:val="en-US"/>
        </w:rPr>
        <w:t>Proposal</w:t>
      </w:r>
      <w:r w:rsidR="00A37D5D" w:rsidRPr="00A37D5D">
        <w:rPr>
          <w:rFonts w:eastAsia="ＭＳ Ｐゴシック"/>
          <w:b/>
          <w:bCs/>
          <w:i/>
          <w:iCs/>
          <w:lang w:val="en-US"/>
        </w:rPr>
        <w:t xml:space="preserve"> </w:t>
      </w:r>
      <w:r>
        <w:rPr>
          <w:rFonts w:eastAsia="ＭＳ Ｐゴシック"/>
          <w:b/>
          <w:bCs/>
          <w:i/>
          <w:iCs/>
          <w:lang w:val="en-US"/>
        </w:rPr>
        <w:t>4</w:t>
      </w:r>
      <w:r w:rsidR="00A37D5D" w:rsidRPr="00A37D5D">
        <w:rPr>
          <w:rFonts w:eastAsia="ＭＳ Ｐゴシック"/>
          <w:b/>
          <w:bCs/>
          <w:i/>
          <w:iCs/>
          <w:lang w:val="en-US"/>
        </w:rPr>
        <w:t xml:space="preserve">: Other duplexer implementation </w:t>
      </w:r>
      <w:r w:rsidR="00942E71">
        <w:rPr>
          <w:rFonts w:eastAsia="ＭＳ Ｐゴシック"/>
          <w:b/>
          <w:bCs/>
          <w:i/>
          <w:iCs/>
          <w:lang w:val="en-US"/>
        </w:rPr>
        <w:t xml:space="preserve">than B2 </w:t>
      </w:r>
      <w:r w:rsidR="00A37D5D" w:rsidRPr="00A37D5D">
        <w:rPr>
          <w:rFonts w:eastAsia="ＭＳ Ｐゴシック"/>
          <w:b/>
          <w:bCs/>
          <w:i/>
          <w:iCs/>
          <w:lang w:val="en-US"/>
        </w:rPr>
        <w:t xml:space="preserve">is not precluded but the </w:t>
      </w:r>
      <w:r w:rsidR="00946A70">
        <w:rPr>
          <w:rFonts w:eastAsia="ＭＳ Ｐゴシック"/>
          <w:b/>
          <w:bCs/>
          <w:i/>
          <w:iCs/>
          <w:lang w:val="en-US"/>
        </w:rPr>
        <w:t xml:space="preserve">frequency arrangement and RF </w:t>
      </w:r>
      <w:r w:rsidR="00A37D5D" w:rsidRPr="00A37D5D">
        <w:rPr>
          <w:rFonts w:eastAsia="ＭＳ Ｐゴシック"/>
          <w:b/>
          <w:bCs/>
          <w:i/>
          <w:iCs/>
          <w:lang w:val="en-US"/>
        </w:rPr>
        <w:t>requirement baseline should be based on Option B2</w:t>
      </w:r>
      <w:r>
        <w:rPr>
          <w:rFonts w:eastAsia="ＭＳ Ｐゴシック"/>
          <w:b/>
          <w:bCs/>
          <w:i/>
          <w:iCs/>
          <w:lang w:val="en-US"/>
        </w:rPr>
        <w:t>.</w:t>
      </w:r>
    </w:p>
    <w:p w14:paraId="16207F8D" w14:textId="6025C195" w:rsidR="004D7480" w:rsidRPr="00DC6358" w:rsidRDefault="004D7480" w:rsidP="004D7480">
      <w:pPr>
        <w:pStyle w:val="Heading1"/>
      </w:pPr>
      <w:r>
        <w:t>Conclusion</w:t>
      </w:r>
    </w:p>
    <w:p w14:paraId="6646CAFD" w14:textId="0D6266A0" w:rsidR="00556081" w:rsidRPr="00556081" w:rsidRDefault="00556081" w:rsidP="00556081">
      <w:pPr>
        <w:rPr>
          <w:rFonts w:eastAsia="ＭＳ Ｐゴシック"/>
          <w:lang w:val="en-US"/>
        </w:rPr>
      </w:pPr>
      <w:r>
        <w:rPr>
          <w:rFonts w:eastAsia="ＭＳ Ｐゴシック"/>
          <w:lang w:val="en-US"/>
        </w:rPr>
        <w:t>In this contribution, the feasibility of duplexer for frequency arrangement option B1 and B2 has been discussed. The following observations and proposals have been presented.</w:t>
      </w:r>
    </w:p>
    <w:p w14:paraId="75B3A8E5" w14:textId="08635880" w:rsidR="00556081" w:rsidRDefault="00556081" w:rsidP="00556081">
      <w:pPr>
        <w:rPr>
          <w:rFonts w:eastAsia="ＭＳ Ｐゴシック"/>
          <w:b/>
          <w:bCs/>
          <w:i/>
          <w:iCs/>
          <w:lang w:val="en-US"/>
        </w:rPr>
      </w:pPr>
      <w:r>
        <w:rPr>
          <w:rFonts w:eastAsia="ＭＳ Ｐゴシック"/>
          <w:b/>
          <w:bCs/>
          <w:i/>
          <w:iCs/>
          <w:lang w:val="en-US"/>
        </w:rPr>
        <w:t>Observation 1: The ecosystem of band n71 should be maximally reused for APT.</w:t>
      </w:r>
    </w:p>
    <w:p w14:paraId="1A3498CC" w14:textId="77777777" w:rsidR="00C87C13" w:rsidRDefault="00C87C13" w:rsidP="00C87C13">
      <w:pPr>
        <w:rPr>
          <w:rFonts w:eastAsia="ＭＳ Ｐゴシック"/>
          <w:b/>
          <w:bCs/>
          <w:i/>
          <w:iCs/>
          <w:lang w:val="en-US"/>
        </w:rPr>
      </w:pPr>
      <w:r>
        <w:rPr>
          <w:rFonts w:eastAsia="ＭＳ Ｐゴシック"/>
          <w:b/>
          <w:bCs/>
          <w:i/>
          <w:iCs/>
          <w:lang w:val="en-US"/>
        </w:rPr>
        <w:t>Observation 2: The passband bandwidth extension is not practically feasible without significant degradation from band n71 due to its larger insertion loss.</w:t>
      </w:r>
    </w:p>
    <w:p w14:paraId="66E967BA" w14:textId="77777777" w:rsidR="00C87C13" w:rsidRDefault="00C87C13" w:rsidP="00C87C13">
      <w:pPr>
        <w:rPr>
          <w:rFonts w:eastAsia="ＭＳ Ｐゴシック"/>
          <w:b/>
          <w:bCs/>
          <w:i/>
          <w:iCs/>
          <w:lang w:val="en-US"/>
        </w:rPr>
      </w:pPr>
      <w:r>
        <w:rPr>
          <w:rFonts w:eastAsia="ＭＳ Ｐゴシック"/>
          <w:b/>
          <w:bCs/>
          <w:i/>
          <w:iCs/>
          <w:lang w:val="en-US"/>
        </w:rPr>
        <w:t>Observation 3: Option B2 is more harmonized with band n71 in terms of UE implementation and duplexer performance.</w:t>
      </w:r>
    </w:p>
    <w:p w14:paraId="233D48AD" w14:textId="77777777" w:rsidR="00C87C13" w:rsidRDefault="00C87C13" w:rsidP="00C87C13">
      <w:pPr>
        <w:rPr>
          <w:rFonts w:eastAsia="ＭＳ Ｐゴシック"/>
          <w:b/>
          <w:bCs/>
          <w:i/>
          <w:iCs/>
          <w:lang w:val="en-US"/>
        </w:rPr>
      </w:pPr>
      <w:r>
        <w:rPr>
          <w:rFonts w:eastAsia="ＭＳ Ｐゴシック"/>
          <w:b/>
          <w:bCs/>
          <w:i/>
          <w:iCs/>
          <w:lang w:val="en-US"/>
        </w:rPr>
        <w:t xml:space="preserve">Observation 4: Option B2 is a natural extension of n71 and is not harmful to n71 ecosystem. </w:t>
      </w:r>
    </w:p>
    <w:p w14:paraId="0119E33A" w14:textId="77777777" w:rsidR="00C87C13" w:rsidRDefault="00C87C13" w:rsidP="00C87C13">
      <w:pPr>
        <w:rPr>
          <w:rFonts w:eastAsia="ＭＳ Ｐゴシック"/>
          <w:b/>
          <w:bCs/>
          <w:i/>
          <w:iCs/>
          <w:lang w:val="en-US"/>
        </w:rPr>
      </w:pPr>
      <w:r>
        <w:rPr>
          <w:rFonts w:eastAsia="ＭＳ Ｐゴシック"/>
          <w:b/>
          <w:bCs/>
          <w:i/>
          <w:iCs/>
          <w:lang w:val="en-US"/>
        </w:rPr>
        <w:t>Proposal 1: Option B1 shall be discouraged for APT/AWG to proceed.</w:t>
      </w:r>
    </w:p>
    <w:p w14:paraId="75A39BCA" w14:textId="326E5D5E" w:rsidR="00C87C13" w:rsidRPr="00A40FBD" w:rsidRDefault="00C87C13" w:rsidP="00C87C13">
      <w:pPr>
        <w:rPr>
          <w:rFonts w:eastAsia="ＭＳ Ｐゴシック"/>
          <w:b/>
          <w:bCs/>
          <w:i/>
          <w:iCs/>
          <w:lang w:val="en-US"/>
        </w:rPr>
      </w:pPr>
      <w:r w:rsidRPr="00A40FBD">
        <w:rPr>
          <w:rFonts w:eastAsia="ＭＳ Ｐゴシック"/>
          <w:b/>
          <w:bCs/>
          <w:i/>
          <w:iCs/>
          <w:lang w:val="en-US"/>
        </w:rPr>
        <w:t xml:space="preserve">Observation </w:t>
      </w:r>
      <w:r>
        <w:rPr>
          <w:rFonts w:eastAsia="ＭＳ Ｐゴシック"/>
          <w:b/>
          <w:bCs/>
          <w:i/>
          <w:iCs/>
          <w:lang w:val="en-US"/>
        </w:rPr>
        <w:t>5</w:t>
      </w:r>
      <w:r w:rsidRPr="00A40FBD">
        <w:rPr>
          <w:rFonts w:eastAsia="ＭＳ Ｐゴシック"/>
          <w:b/>
          <w:bCs/>
          <w:i/>
          <w:iCs/>
          <w:lang w:val="en-US"/>
        </w:rPr>
        <w:t>: The upper duplexer passband bandwidth can be up to UE implementation as far as UE can support any channel bandwidth in any carrier frequency within the band</w:t>
      </w:r>
      <w:r>
        <w:rPr>
          <w:rFonts w:eastAsia="ＭＳ Ｐゴシック"/>
          <w:b/>
          <w:bCs/>
          <w:i/>
          <w:iCs/>
          <w:lang w:val="en-US"/>
        </w:rPr>
        <w:t xml:space="preserve"> and </w:t>
      </w:r>
      <w:r w:rsidR="002F4D15">
        <w:rPr>
          <w:rFonts w:eastAsia="ＭＳ Ｐゴシック"/>
          <w:b/>
          <w:bCs/>
          <w:i/>
          <w:iCs/>
          <w:lang w:val="en-US"/>
        </w:rPr>
        <w:t xml:space="preserve">can </w:t>
      </w:r>
      <w:r>
        <w:rPr>
          <w:rFonts w:eastAsia="ＭＳ Ｐゴシック"/>
          <w:b/>
          <w:bCs/>
          <w:i/>
          <w:iCs/>
          <w:lang w:val="en-US"/>
        </w:rPr>
        <w:t>meet the same requirement as band n71 for the entire frequency range.</w:t>
      </w:r>
    </w:p>
    <w:p w14:paraId="03EF6ED4" w14:textId="6045907E" w:rsidR="00C87C13" w:rsidRDefault="00C87C13" w:rsidP="00C87C13">
      <w:pPr>
        <w:rPr>
          <w:rFonts w:eastAsia="ＭＳ Ｐゴシック"/>
          <w:b/>
          <w:bCs/>
          <w:i/>
          <w:iCs/>
          <w:lang w:val="en-US"/>
        </w:rPr>
      </w:pPr>
      <w:r>
        <w:rPr>
          <w:rFonts w:eastAsia="ＭＳ Ｐゴシック"/>
          <w:b/>
          <w:bCs/>
          <w:i/>
          <w:iCs/>
          <w:lang w:val="en-US"/>
        </w:rPr>
        <w:t xml:space="preserve">Proposal </w:t>
      </w:r>
      <w:r w:rsidR="00B76A0A">
        <w:rPr>
          <w:rFonts w:eastAsia="ＭＳ Ｐゴシック"/>
          <w:b/>
          <w:bCs/>
          <w:i/>
          <w:iCs/>
          <w:lang w:val="en-US"/>
        </w:rPr>
        <w:t>2</w:t>
      </w:r>
      <w:r>
        <w:rPr>
          <w:rFonts w:eastAsia="ＭＳ Ｐゴシック"/>
          <w:b/>
          <w:bCs/>
          <w:i/>
          <w:iCs/>
          <w:lang w:val="en-US"/>
        </w:rPr>
        <w:t>: UE RF requirement such as MOP</w:t>
      </w:r>
      <w:r w:rsidR="007B325B">
        <w:rPr>
          <w:rFonts w:eastAsia="ＭＳ Ｐゴシック"/>
          <w:b/>
          <w:bCs/>
          <w:i/>
          <w:iCs/>
          <w:lang w:val="en-US"/>
        </w:rPr>
        <w:t xml:space="preserve"> and </w:t>
      </w:r>
      <w:r>
        <w:rPr>
          <w:rFonts w:eastAsia="ＭＳ Ｐゴシック"/>
          <w:b/>
          <w:bCs/>
          <w:i/>
          <w:iCs/>
          <w:lang w:val="en-US"/>
        </w:rPr>
        <w:t>REFSENS shall be the same as n71.</w:t>
      </w:r>
    </w:p>
    <w:p w14:paraId="48044787" w14:textId="67C5265C" w:rsidR="00942E71" w:rsidRDefault="007B325B" w:rsidP="00C87C13">
      <w:pPr>
        <w:rPr>
          <w:rFonts w:eastAsia="ＭＳ Ｐゴシック"/>
          <w:b/>
          <w:bCs/>
          <w:i/>
          <w:iCs/>
          <w:lang w:val="en-US"/>
        </w:rPr>
      </w:pPr>
      <w:r>
        <w:rPr>
          <w:rFonts w:eastAsia="ＭＳ Ｐゴシック"/>
          <w:b/>
          <w:bCs/>
          <w:i/>
          <w:iCs/>
          <w:lang w:val="en-US"/>
        </w:rPr>
        <w:t>Proposal 3: For the protection of own downlink band, NS and A-MPR solution is further studied.</w:t>
      </w:r>
    </w:p>
    <w:p w14:paraId="41B5F219" w14:textId="32FA83A6" w:rsidR="00942E71" w:rsidRDefault="00942E71" w:rsidP="00C87C13">
      <w:pPr>
        <w:rPr>
          <w:rFonts w:eastAsia="ＭＳ Ｐゴシック"/>
          <w:b/>
          <w:bCs/>
          <w:i/>
          <w:iCs/>
          <w:lang w:val="en-US"/>
        </w:rPr>
      </w:pPr>
      <w:r w:rsidRPr="00A27085">
        <w:rPr>
          <w:rFonts w:eastAsia="ＭＳ Ｐゴシック"/>
          <w:b/>
          <w:bCs/>
          <w:i/>
          <w:iCs/>
          <w:lang w:val="en-US"/>
        </w:rPr>
        <w:t>Observation 5: Single duplexer implementation is not excluded as far as the requirement baseline based on dual duplexer assumption is fulfilled.</w:t>
      </w:r>
    </w:p>
    <w:p w14:paraId="0189E69B" w14:textId="115D898A" w:rsidR="00C87C13" w:rsidRPr="00A37D5D" w:rsidRDefault="00C87C13" w:rsidP="00C87C13">
      <w:pPr>
        <w:rPr>
          <w:rFonts w:eastAsia="ＭＳ Ｐゴシック"/>
          <w:b/>
          <w:bCs/>
          <w:i/>
          <w:iCs/>
          <w:lang w:val="en-US"/>
        </w:rPr>
      </w:pPr>
      <w:r>
        <w:rPr>
          <w:rFonts w:eastAsia="ＭＳ Ｐゴシック"/>
          <w:b/>
          <w:bCs/>
          <w:i/>
          <w:iCs/>
          <w:lang w:val="en-US"/>
        </w:rPr>
        <w:t>Proposal</w:t>
      </w:r>
      <w:r w:rsidRPr="00A37D5D">
        <w:rPr>
          <w:rFonts w:eastAsia="ＭＳ Ｐゴシック"/>
          <w:b/>
          <w:bCs/>
          <w:i/>
          <w:iCs/>
          <w:lang w:val="en-US"/>
        </w:rPr>
        <w:t xml:space="preserve"> </w:t>
      </w:r>
      <w:r>
        <w:rPr>
          <w:rFonts w:eastAsia="ＭＳ Ｐゴシック"/>
          <w:b/>
          <w:bCs/>
          <w:i/>
          <w:iCs/>
          <w:lang w:val="en-US"/>
        </w:rPr>
        <w:t>4</w:t>
      </w:r>
      <w:r w:rsidRPr="00A37D5D">
        <w:rPr>
          <w:rFonts w:eastAsia="ＭＳ Ｐゴシック"/>
          <w:b/>
          <w:bCs/>
          <w:i/>
          <w:iCs/>
          <w:lang w:val="en-US"/>
        </w:rPr>
        <w:t>: Other duplexer implementation</w:t>
      </w:r>
      <w:r w:rsidR="00942E71">
        <w:rPr>
          <w:rFonts w:eastAsia="ＭＳ Ｐゴシック"/>
          <w:b/>
          <w:bCs/>
          <w:i/>
          <w:iCs/>
          <w:lang w:val="en-US"/>
        </w:rPr>
        <w:t xml:space="preserve"> than B2</w:t>
      </w:r>
      <w:r w:rsidRPr="00A37D5D">
        <w:rPr>
          <w:rFonts w:eastAsia="ＭＳ Ｐゴシック"/>
          <w:b/>
          <w:bCs/>
          <w:i/>
          <w:iCs/>
          <w:lang w:val="en-US"/>
        </w:rPr>
        <w:t xml:space="preserve"> is not precluded but the </w:t>
      </w:r>
      <w:r>
        <w:rPr>
          <w:rFonts w:eastAsia="ＭＳ Ｐゴシック"/>
          <w:b/>
          <w:bCs/>
          <w:i/>
          <w:iCs/>
          <w:lang w:val="en-US"/>
        </w:rPr>
        <w:t xml:space="preserve">frequency arrangement and RF </w:t>
      </w:r>
      <w:r w:rsidRPr="00A37D5D">
        <w:rPr>
          <w:rFonts w:eastAsia="ＭＳ Ｐゴシック"/>
          <w:b/>
          <w:bCs/>
          <w:i/>
          <w:iCs/>
          <w:lang w:val="en-US"/>
        </w:rPr>
        <w:t>requirement baseline should be based on Option B2</w:t>
      </w:r>
      <w:r>
        <w:rPr>
          <w:rFonts w:eastAsia="ＭＳ Ｐゴシック"/>
          <w:b/>
          <w:bCs/>
          <w:i/>
          <w:iCs/>
          <w:lang w:val="en-US"/>
        </w:rPr>
        <w:t>.</w:t>
      </w:r>
    </w:p>
    <w:p w14:paraId="7D870644" w14:textId="77777777" w:rsidR="00F16B29" w:rsidRPr="00BB54B4" w:rsidRDefault="00F16B29" w:rsidP="008440BD">
      <w:pPr>
        <w:rPr>
          <w:rFonts w:eastAsia="ＭＳ Ｐゴシック"/>
          <w:b/>
          <w:bCs/>
          <w:i/>
          <w:iCs/>
          <w:lang w:val="en-US"/>
        </w:rPr>
      </w:pPr>
    </w:p>
    <w:p w14:paraId="30894103" w14:textId="7AD69B77" w:rsidR="00DC6358" w:rsidRPr="00DC6358" w:rsidRDefault="00DC6358" w:rsidP="00DC6358">
      <w:pPr>
        <w:pStyle w:val="Heading1"/>
      </w:pPr>
      <w:r>
        <w:t>Reference</w:t>
      </w:r>
    </w:p>
    <w:p w14:paraId="35BFED14" w14:textId="4CB21A93" w:rsidR="00F16B29" w:rsidRDefault="00F16B29" w:rsidP="00F16B29">
      <w:r>
        <w:t xml:space="preserve">[1] </w:t>
      </w:r>
      <w:r w:rsidRPr="00D14595">
        <w:t>RP-202924</w:t>
      </w:r>
      <w:r w:rsidRPr="00D14595">
        <w:tab/>
        <w:t>New SID: Study on extended 600MHz NR band</w:t>
      </w:r>
      <w:r>
        <w:t>,</w:t>
      </w:r>
      <w:r w:rsidRPr="00D14595">
        <w:t xml:space="preserve"> </w:t>
      </w:r>
      <w:r w:rsidRPr="00D14595">
        <w:tab/>
        <w:t>Spark NZ Ltd</w:t>
      </w:r>
      <w:r w:rsidR="00690DD6">
        <w:t xml:space="preserve"> -&gt; revised?</w:t>
      </w:r>
    </w:p>
    <w:p w14:paraId="7B3A9051" w14:textId="0321F9BB" w:rsidR="00D14595" w:rsidRDefault="00BC71CE" w:rsidP="00F16B29">
      <w:r>
        <w:t>[</w:t>
      </w:r>
      <w:r w:rsidR="00F16B29">
        <w:t>2</w:t>
      </w:r>
      <w:r>
        <w:t xml:space="preserve">] </w:t>
      </w:r>
      <w:r w:rsidR="00D14595">
        <w:t>RP-202143</w:t>
      </w:r>
      <w:r w:rsidR="00D14595">
        <w:tab/>
        <w:t xml:space="preserve">LS on Frequency arrangements for IMT in the band 470-703MHz </w:t>
      </w:r>
      <w:r w:rsidR="00D14595">
        <w:tab/>
        <w:t>Asia-Pacific Telecommunity</w:t>
      </w:r>
    </w:p>
    <w:p w14:paraId="49763FB8" w14:textId="44461FC8" w:rsidR="00916F95" w:rsidRDefault="00916F95" w:rsidP="00F16B29">
      <w:r>
        <w:t>[3] TR 36.820</w:t>
      </w:r>
      <w:r>
        <w:tab/>
      </w:r>
      <w:r w:rsidRPr="00916F95">
        <w:t>LTE for 700 MHz digital dividend</w:t>
      </w:r>
    </w:p>
    <w:p w14:paraId="513E1E09" w14:textId="0C49C893" w:rsidR="00916F95" w:rsidRDefault="00916F95" w:rsidP="00F16B29">
      <w:r>
        <w:t>[4] TR 36.755</w:t>
      </w:r>
      <w:r>
        <w:tab/>
      </w:r>
      <w:r w:rsidRPr="00916F95">
        <w:t>US 600 MHz Band for LTE</w:t>
      </w:r>
    </w:p>
    <w:p w14:paraId="05A062BB" w14:textId="05D6B4DD" w:rsidR="00690DD6" w:rsidRDefault="00690DD6" w:rsidP="00F16B29">
      <w:r>
        <w:lastRenderedPageBreak/>
        <w:t xml:space="preserve">[5] </w:t>
      </w:r>
      <w:r w:rsidRPr="00690DD6">
        <w:t>R4-2103335</w:t>
      </w:r>
      <w:r>
        <w:tab/>
      </w:r>
      <w:r w:rsidRPr="00690DD6">
        <w:t>Email discussion summary for [98e][148] FS_NR_600MHz_ext</w:t>
      </w:r>
    </w:p>
    <w:p w14:paraId="18E538E9" w14:textId="389F4B33" w:rsidR="00690DD6" w:rsidRDefault="00690DD6" w:rsidP="00F16B29">
      <w:r>
        <w:t xml:space="preserve">[6] </w:t>
      </w:r>
      <w:r w:rsidRPr="00690DD6">
        <w:t>R4-2103270</w:t>
      </w:r>
      <w:r w:rsidRPr="00690DD6">
        <w:tab/>
        <w:t>Work plan of study on extended 600MHz NR band</w:t>
      </w:r>
    </w:p>
    <w:p w14:paraId="5214B726" w14:textId="23C9CA8A" w:rsidR="00690DD6" w:rsidRDefault="00690DD6" w:rsidP="00F16B29">
      <w:r>
        <w:t xml:space="preserve">[7] </w:t>
      </w:r>
      <w:r w:rsidRPr="00690DD6">
        <w:t>R4-2103372</w:t>
      </w:r>
      <w:r>
        <w:tab/>
      </w:r>
      <w:r w:rsidRPr="00690DD6">
        <w:t>WF on bands plans for further study and duplex filter options</w:t>
      </w:r>
    </w:p>
    <w:p w14:paraId="0F6BCF9A" w14:textId="0B704D52" w:rsidR="005864B5" w:rsidRDefault="005864B5" w:rsidP="00F16B29">
      <w:r>
        <w:t xml:space="preserve">[8] </w:t>
      </w:r>
      <w:r w:rsidR="007B325B">
        <w:t xml:space="preserve">AWG-27/OUT-17 </w:t>
      </w:r>
      <w:r w:rsidR="007B325B" w:rsidRPr="007B325B">
        <w:t>REPLY LIAISON STATEMENT TO 3GPP RAN, 3GPP RAN4</w:t>
      </w:r>
      <w:r w:rsidR="007B325B">
        <w:t>, APT Wireless Group</w:t>
      </w:r>
    </w:p>
    <w:p w14:paraId="26C3C6A3" w14:textId="4D710E56" w:rsidR="00DC6358" w:rsidRDefault="00DC6358" w:rsidP="00D14595"/>
    <w:p w14:paraId="053FDAA7" w14:textId="77777777" w:rsidR="00D14595" w:rsidRPr="00DC6358" w:rsidRDefault="00D14595" w:rsidP="00D14595">
      <w:pPr>
        <w:rPr>
          <w:color w:val="FF0000"/>
        </w:rPr>
      </w:pPr>
    </w:p>
    <w:p w14:paraId="273CB524" w14:textId="77777777" w:rsidR="00080512" w:rsidRDefault="00080512"/>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B6FF29" w14:textId="77777777" w:rsidR="005340F5" w:rsidRDefault="005340F5">
      <w:r>
        <w:separator/>
      </w:r>
    </w:p>
  </w:endnote>
  <w:endnote w:type="continuationSeparator" w:id="0">
    <w:p w14:paraId="365BB600" w14:textId="77777777" w:rsidR="005340F5" w:rsidRDefault="00534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B2C6EC" w14:textId="77777777" w:rsidR="005340F5" w:rsidRDefault="005340F5">
      <w:r>
        <w:separator/>
      </w:r>
    </w:p>
  </w:footnote>
  <w:footnote w:type="continuationSeparator" w:id="0">
    <w:p w14:paraId="0006E782" w14:textId="77777777" w:rsidR="005340F5" w:rsidRDefault="005340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0960DB"/>
    <w:multiLevelType w:val="hybridMultilevel"/>
    <w:tmpl w:val="FD960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8264BE"/>
    <w:multiLevelType w:val="hybridMultilevel"/>
    <w:tmpl w:val="171CE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A75688"/>
    <w:multiLevelType w:val="hybridMultilevel"/>
    <w:tmpl w:val="ED5EB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5A270E"/>
    <w:multiLevelType w:val="multilevel"/>
    <w:tmpl w:val="0FC2FDE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67"/>
        </w:tabs>
        <w:ind w:left="27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90"/>
        </w:tabs>
        <w:ind w:left="1320" w:hanging="510"/>
      </w:pPr>
      <w:rPr>
        <w:rFonts w:hint="eastAsia"/>
      </w:rPr>
    </w:lvl>
    <w:lvl w:ilvl="3">
      <w:start w:val="1"/>
      <w:numFmt w:val="decimal"/>
      <w:lvlText w:val="%1.%2.%3.%4"/>
      <w:lvlJc w:val="left"/>
      <w:pPr>
        <w:tabs>
          <w:tab w:val="num" w:pos="1509"/>
        </w:tabs>
        <w:ind w:left="1509" w:hanging="87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E5C65DD"/>
    <w:multiLevelType w:val="multilevel"/>
    <w:tmpl w:val="3580E924"/>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B622DF"/>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32F479B3"/>
    <w:multiLevelType w:val="hybridMultilevel"/>
    <w:tmpl w:val="4FFCD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F5028C"/>
    <w:multiLevelType w:val="hybridMultilevel"/>
    <w:tmpl w:val="B46AE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0059E9"/>
    <w:multiLevelType w:val="hybridMultilevel"/>
    <w:tmpl w:val="2A8C9D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D6B68DC"/>
    <w:multiLevelType w:val="hybridMultilevel"/>
    <w:tmpl w:val="16BC9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518647F6"/>
    <w:multiLevelType w:val="hybridMultilevel"/>
    <w:tmpl w:val="E71CD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627FA0"/>
    <w:multiLevelType w:val="hybridMultilevel"/>
    <w:tmpl w:val="E9AAA0AA"/>
    <w:lvl w:ilvl="0" w:tplc="2FA05798">
      <w:start w:val="9"/>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8914DBD"/>
    <w:multiLevelType w:val="hybridMultilevel"/>
    <w:tmpl w:val="BF8844BE"/>
    <w:lvl w:ilvl="0" w:tplc="EE5E5274">
      <w:start w:val="6"/>
      <w:numFmt w:val="bullet"/>
      <w:lvlText w:val=""/>
      <w:lvlJc w:val="left"/>
      <w:pPr>
        <w:ind w:left="720" w:hanging="360"/>
      </w:pPr>
      <w:rPr>
        <w:rFonts w:ascii="Symbol" w:eastAsia="ＭＳ Ｐ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EE33794"/>
    <w:multiLevelType w:val="hybridMultilevel"/>
    <w:tmpl w:val="BD54F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2544E4"/>
    <w:multiLevelType w:val="hybridMultilevel"/>
    <w:tmpl w:val="3CFAA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6"/>
  </w:num>
  <w:num w:numId="6">
    <w:abstractNumId w:val="7"/>
  </w:num>
  <w:num w:numId="7">
    <w:abstractNumId w:val="16"/>
  </w:num>
  <w:num w:numId="8">
    <w:abstractNumId w:val="14"/>
  </w:num>
  <w:num w:numId="9">
    <w:abstractNumId w:val="9"/>
  </w:num>
  <w:num w:numId="10">
    <w:abstractNumId w:val="13"/>
  </w:num>
  <w:num w:numId="11">
    <w:abstractNumId w:val="17"/>
  </w:num>
  <w:num w:numId="12">
    <w:abstractNumId w:val="4"/>
  </w:num>
  <w:num w:numId="13">
    <w:abstractNumId w:val="19"/>
  </w:num>
  <w:num w:numId="14">
    <w:abstractNumId w:val="5"/>
  </w:num>
  <w:num w:numId="15">
    <w:abstractNumId w:val="12"/>
  </w:num>
  <w:num w:numId="16">
    <w:abstractNumId w:val="20"/>
  </w:num>
  <w:num w:numId="17">
    <w:abstractNumId w:val="10"/>
  </w:num>
  <w:num w:numId="18">
    <w:abstractNumId w:val="2"/>
  </w:num>
  <w:num w:numId="19">
    <w:abstractNumId w:val="15"/>
  </w:num>
  <w:num w:numId="20">
    <w:abstractNumId w:val="8"/>
  </w:num>
  <w:num w:numId="21">
    <w:abstractNumId w:val="3"/>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95C"/>
    <w:rsid w:val="00033397"/>
    <w:rsid w:val="00040095"/>
    <w:rsid w:val="00051834"/>
    <w:rsid w:val="00054A22"/>
    <w:rsid w:val="00062023"/>
    <w:rsid w:val="000655A6"/>
    <w:rsid w:val="00080512"/>
    <w:rsid w:val="00084086"/>
    <w:rsid w:val="000B7DB1"/>
    <w:rsid w:val="000C47C3"/>
    <w:rsid w:val="000D58AB"/>
    <w:rsid w:val="000D7463"/>
    <w:rsid w:val="000F31BB"/>
    <w:rsid w:val="00113DFC"/>
    <w:rsid w:val="00133525"/>
    <w:rsid w:val="00157C6F"/>
    <w:rsid w:val="0018720F"/>
    <w:rsid w:val="001A4C42"/>
    <w:rsid w:val="001A7420"/>
    <w:rsid w:val="001B55F3"/>
    <w:rsid w:val="001B6637"/>
    <w:rsid w:val="001C21C3"/>
    <w:rsid w:val="001C70E1"/>
    <w:rsid w:val="001D02C2"/>
    <w:rsid w:val="001F0C1D"/>
    <w:rsid w:val="001F1132"/>
    <w:rsid w:val="001F168B"/>
    <w:rsid w:val="0021588F"/>
    <w:rsid w:val="002347A2"/>
    <w:rsid w:val="00237777"/>
    <w:rsid w:val="002675F0"/>
    <w:rsid w:val="00267EA9"/>
    <w:rsid w:val="00270206"/>
    <w:rsid w:val="00292B9D"/>
    <w:rsid w:val="00292BEE"/>
    <w:rsid w:val="002A2F73"/>
    <w:rsid w:val="002A55C1"/>
    <w:rsid w:val="002B6339"/>
    <w:rsid w:val="002C432C"/>
    <w:rsid w:val="002D6F2D"/>
    <w:rsid w:val="002E00EE"/>
    <w:rsid w:val="002F4D15"/>
    <w:rsid w:val="00307FF4"/>
    <w:rsid w:val="003172DC"/>
    <w:rsid w:val="00323359"/>
    <w:rsid w:val="00326A20"/>
    <w:rsid w:val="00350AE3"/>
    <w:rsid w:val="0035462D"/>
    <w:rsid w:val="00361279"/>
    <w:rsid w:val="00374551"/>
    <w:rsid w:val="003765B8"/>
    <w:rsid w:val="0039735C"/>
    <w:rsid w:val="003C2B65"/>
    <w:rsid w:val="003C3971"/>
    <w:rsid w:val="003D254C"/>
    <w:rsid w:val="003E6C12"/>
    <w:rsid w:val="004225D7"/>
    <w:rsid w:val="00423334"/>
    <w:rsid w:val="004345EC"/>
    <w:rsid w:val="00446662"/>
    <w:rsid w:val="0045436B"/>
    <w:rsid w:val="00465515"/>
    <w:rsid w:val="00491315"/>
    <w:rsid w:val="00492286"/>
    <w:rsid w:val="00493ABC"/>
    <w:rsid w:val="004A2911"/>
    <w:rsid w:val="004C4673"/>
    <w:rsid w:val="004D3578"/>
    <w:rsid w:val="004D7480"/>
    <w:rsid w:val="004E213A"/>
    <w:rsid w:val="004F0988"/>
    <w:rsid w:val="004F3340"/>
    <w:rsid w:val="004F79C0"/>
    <w:rsid w:val="005064BD"/>
    <w:rsid w:val="00514AEA"/>
    <w:rsid w:val="0053388B"/>
    <w:rsid w:val="005340F5"/>
    <w:rsid w:val="00535773"/>
    <w:rsid w:val="00543E6C"/>
    <w:rsid w:val="005522AE"/>
    <w:rsid w:val="00556081"/>
    <w:rsid w:val="00557C3D"/>
    <w:rsid w:val="00561589"/>
    <w:rsid w:val="00565087"/>
    <w:rsid w:val="00572952"/>
    <w:rsid w:val="00574E6D"/>
    <w:rsid w:val="005864B5"/>
    <w:rsid w:val="00597B11"/>
    <w:rsid w:val="005D2E01"/>
    <w:rsid w:val="005D7526"/>
    <w:rsid w:val="005E4BB2"/>
    <w:rsid w:val="005E55B1"/>
    <w:rsid w:val="005E609B"/>
    <w:rsid w:val="00602AEA"/>
    <w:rsid w:val="00614FDF"/>
    <w:rsid w:val="006215F2"/>
    <w:rsid w:val="00630334"/>
    <w:rsid w:val="0063543D"/>
    <w:rsid w:val="00637DB7"/>
    <w:rsid w:val="00647114"/>
    <w:rsid w:val="0066613A"/>
    <w:rsid w:val="00666419"/>
    <w:rsid w:val="0067040A"/>
    <w:rsid w:val="00690DD6"/>
    <w:rsid w:val="00692DD9"/>
    <w:rsid w:val="006942C1"/>
    <w:rsid w:val="006A2212"/>
    <w:rsid w:val="006A323F"/>
    <w:rsid w:val="006A3B64"/>
    <w:rsid w:val="006B30D0"/>
    <w:rsid w:val="006C249F"/>
    <w:rsid w:val="006C3D95"/>
    <w:rsid w:val="006E3752"/>
    <w:rsid w:val="006E429B"/>
    <w:rsid w:val="006E4A01"/>
    <w:rsid w:val="006E5C86"/>
    <w:rsid w:val="006F47FD"/>
    <w:rsid w:val="00701116"/>
    <w:rsid w:val="007047EB"/>
    <w:rsid w:val="007066E6"/>
    <w:rsid w:val="00713C44"/>
    <w:rsid w:val="00720B01"/>
    <w:rsid w:val="007342EE"/>
    <w:rsid w:val="00734A5B"/>
    <w:rsid w:val="0074026F"/>
    <w:rsid w:val="007429F6"/>
    <w:rsid w:val="00744E76"/>
    <w:rsid w:val="00747417"/>
    <w:rsid w:val="00774DA4"/>
    <w:rsid w:val="00781F0F"/>
    <w:rsid w:val="007873D3"/>
    <w:rsid w:val="007A0B69"/>
    <w:rsid w:val="007A4C0C"/>
    <w:rsid w:val="007B325B"/>
    <w:rsid w:val="007B600E"/>
    <w:rsid w:val="007D444E"/>
    <w:rsid w:val="007D459E"/>
    <w:rsid w:val="007E537D"/>
    <w:rsid w:val="007F0F4A"/>
    <w:rsid w:val="007F1940"/>
    <w:rsid w:val="007F53E6"/>
    <w:rsid w:val="008028A4"/>
    <w:rsid w:val="00816F18"/>
    <w:rsid w:val="00826492"/>
    <w:rsid w:val="0082788C"/>
    <w:rsid w:val="00830747"/>
    <w:rsid w:val="00843319"/>
    <w:rsid w:val="008440BD"/>
    <w:rsid w:val="008768CA"/>
    <w:rsid w:val="008803A9"/>
    <w:rsid w:val="00885D62"/>
    <w:rsid w:val="00895378"/>
    <w:rsid w:val="008A68CE"/>
    <w:rsid w:val="008C384C"/>
    <w:rsid w:val="008F7759"/>
    <w:rsid w:val="0090271F"/>
    <w:rsid w:val="00902E23"/>
    <w:rsid w:val="00907485"/>
    <w:rsid w:val="009114D7"/>
    <w:rsid w:val="0091348E"/>
    <w:rsid w:val="00916F95"/>
    <w:rsid w:val="00917CCB"/>
    <w:rsid w:val="00920E51"/>
    <w:rsid w:val="00942E71"/>
    <w:rsid w:val="00942EC2"/>
    <w:rsid w:val="00946A70"/>
    <w:rsid w:val="009548EE"/>
    <w:rsid w:val="009559E0"/>
    <w:rsid w:val="00957086"/>
    <w:rsid w:val="00997F99"/>
    <w:rsid w:val="009E7D52"/>
    <w:rsid w:val="009F0B8F"/>
    <w:rsid w:val="009F37B7"/>
    <w:rsid w:val="009F4274"/>
    <w:rsid w:val="00A05BC8"/>
    <w:rsid w:val="00A10F02"/>
    <w:rsid w:val="00A164B4"/>
    <w:rsid w:val="00A26956"/>
    <w:rsid w:val="00A27486"/>
    <w:rsid w:val="00A3356D"/>
    <w:rsid w:val="00A37D5D"/>
    <w:rsid w:val="00A403D7"/>
    <w:rsid w:val="00A40FBD"/>
    <w:rsid w:val="00A53724"/>
    <w:rsid w:val="00A55F44"/>
    <w:rsid w:val="00A56066"/>
    <w:rsid w:val="00A57024"/>
    <w:rsid w:val="00A62418"/>
    <w:rsid w:val="00A64C15"/>
    <w:rsid w:val="00A73129"/>
    <w:rsid w:val="00A82346"/>
    <w:rsid w:val="00A85484"/>
    <w:rsid w:val="00A92BA1"/>
    <w:rsid w:val="00A953AB"/>
    <w:rsid w:val="00AA1006"/>
    <w:rsid w:val="00AA3815"/>
    <w:rsid w:val="00AB5BFD"/>
    <w:rsid w:val="00AC56F6"/>
    <w:rsid w:val="00AC6BC6"/>
    <w:rsid w:val="00AE4E25"/>
    <w:rsid w:val="00AE65E2"/>
    <w:rsid w:val="00AF4ECD"/>
    <w:rsid w:val="00B05E04"/>
    <w:rsid w:val="00B15449"/>
    <w:rsid w:val="00B34AFE"/>
    <w:rsid w:val="00B35E18"/>
    <w:rsid w:val="00B532EB"/>
    <w:rsid w:val="00B62C25"/>
    <w:rsid w:val="00B649F9"/>
    <w:rsid w:val="00B76A0A"/>
    <w:rsid w:val="00B86985"/>
    <w:rsid w:val="00B93086"/>
    <w:rsid w:val="00BA19ED"/>
    <w:rsid w:val="00BA4B8D"/>
    <w:rsid w:val="00BB313E"/>
    <w:rsid w:val="00BB54B4"/>
    <w:rsid w:val="00BC0F7D"/>
    <w:rsid w:val="00BC71CE"/>
    <w:rsid w:val="00BD7D31"/>
    <w:rsid w:val="00BE3255"/>
    <w:rsid w:val="00BF08AB"/>
    <w:rsid w:val="00BF0A53"/>
    <w:rsid w:val="00BF128E"/>
    <w:rsid w:val="00C0496E"/>
    <w:rsid w:val="00C074DD"/>
    <w:rsid w:val="00C1496A"/>
    <w:rsid w:val="00C21352"/>
    <w:rsid w:val="00C33079"/>
    <w:rsid w:val="00C45231"/>
    <w:rsid w:val="00C71D11"/>
    <w:rsid w:val="00C72833"/>
    <w:rsid w:val="00C800FA"/>
    <w:rsid w:val="00C80F1D"/>
    <w:rsid w:val="00C87C13"/>
    <w:rsid w:val="00C93F40"/>
    <w:rsid w:val="00C955EA"/>
    <w:rsid w:val="00CA39FF"/>
    <w:rsid w:val="00CA3D0C"/>
    <w:rsid w:val="00CA5F17"/>
    <w:rsid w:val="00CB4461"/>
    <w:rsid w:val="00CD18E0"/>
    <w:rsid w:val="00CD5107"/>
    <w:rsid w:val="00CE14CA"/>
    <w:rsid w:val="00CF3F9C"/>
    <w:rsid w:val="00CF6B78"/>
    <w:rsid w:val="00D1357F"/>
    <w:rsid w:val="00D14595"/>
    <w:rsid w:val="00D22180"/>
    <w:rsid w:val="00D473F8"/>
    <w:rsid w:val="00D57972"/>
    <w:rsid w:val="00D6262C"/>
    <w:rsid w:val="00D675A9"/>
    <w:rsid w:val="00D715EB"/>
    <w:rsid w:val="00D738D6"/>
    <w:rsid w:val="00D755EB"/>
    <w:rsid w:val="00D76048"/>
    <w:rsid w:val="00D873C6"/>
    <w:rsid w:val="00D87E00"/>
    <w:rsid w:val="00D9134D"/>
    <w:rsid w:val="00DA7A03"/>
    <w:rsid w:val="00DB1818"/>
    <w:rsid w:val="00DB64A4"/>
    <w:rsid w:val="00DC1779"/>
    <w:rsid w:val="00DC2457"/>
    <w:rsid w:val="00DC309B"/>
    <w:rsid w:val="00DC4DA2"/>
    <w:rsid w:val="00DC6358"/>
    <w:rsid w:val="00DD0ACC"/>
    <w:rsid w:val="00DD4C17"/>
    <w:rsid w:val="00DD5906"/>
    <w:rsid w:val="00DD74A5"/>
    <w:rsid w:val="00DF2B1F"/>
    <w:rsid w:val="00DF62CD"/>
    <w:rsid w:val="00E02131"/>
    <w:rsid w:val="00E04BC6"/>
    <w:rsid w:val="00E07743"/>
    <w:rsid w:val="00E16509"/>
    <w:rsid w:val="00E20C12"/>
    <w:rsid w:val="00E24D90"/>
    <w:rsid w:val="00E359ED"/>
    <w:rsid w:val="00E35F95"/>
    <w:rsid w:val="00E44582"/>
    <w:rsid w:val="00E71149"/>
    <w:rsid w:val="00E77645"/>
    <w:rsid w:val="00EA15B0"/>
    <w:rsid w:val="00EA5EA7"/>
    <w:rsid w:val="00EC4A25"/>
    <w:rsid w:val="00EE4C73"/>
    <w:rsid w:val="00F025A2"/>
    <w:rsid w:val="00F04712"/>
    <w:rsid w:val="00F13360"/>
    <w:rsid w:val="00F1359B"/>
    <w:rsid w:val="00F148FB"/>
    <w:rsid w:val="00F16B29"/>
    <w:rsid w:val="00F22EC7"/>
    <w:rsid w:val="00F31F83"/>
    <w:rsid w:val="00F325C8"/>
    <w:rsid w:val="00F653B8"/>
    <w:rsid w:val="00F717D0"/>
    <w:rsid w:val="00F9008D"/>
    <w:rsid w:val="00F91187"/>
    <w:rsid w:val="00FA1266"/>
    <w:rsid w:val="00FC0B8E"/>
    <w:rsid w:val="00FC1192"/>
    <w:rsid w:val="00FC3951"/>
    <w:rsid w:val="00FE6C2C"/>
    <w:rsid w:val="00FE70CD"/>
    <w:rsid w:val="00FF5B29"/>
    <w:rsid w:val="00FF768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2D551D"/>
  <w15:chartTrackingRefBased/>
  <w15:docId w15:val="{B13A1F0F-4557-40CA-93FE-B9C158D2A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H1,Memo Heading 1,h1 + 11 pt,Before:  6 pt,After:  0 pt"/>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rPr>
      <w:lang w:eastAsia="en-US"/>
    </w:rPr>
  </w:style>
  <w:style w:type="character" w:customStyle="1" w:styleId="TACChar">
    <w:name w:val="TAC Char"/>
    <w:link w:val="TAC"/>
    <w:qFormat/>
    <w:rsid w:val="00DC6358"/>
    <w:rPr>
      <w:rFonts w:ascii="Arial" w:hAnsi="Arial"/>
      <w:sz w:val="18"/>
      <w:lang w:eastAsia="en-US"/>
    </w:rPr>
  </w:style>
  <w:style w:type="character" w:customStyle="1" w:styleId="TAHCar">
    <w:name w:val="TAH Car"/>
    <w:link w:val="TAH"/>
    <w:qFormat/>
    <w:rsid w:val="00DC6358"/>
    <w:rPr>
      <w:rFonts w:ascii="Arial" w:hAnsi="Arial"/>
      <w:b/>
      <w:sz w:val="18"/>
      <w:lang w:eastAsia="en-US"/>
    </w:rPr>
  </w:style>
  <w:style w:type="character" w:customStyle="1" w:styleId="THChar">
    <w:name w:val="TH Char"/>
    <w:link w:val="TH"/>
    <w:qFormat/>
    <w:rsid w:val="00DC6358"/>
    <w:rPr>
      <w:rFonts w:ascii="Arial" w:hAnsi="Arial"/>
      <w:b/>
      <w:lang w:eastAsia="en-US"/>
    </w:rPr>
  </w:style>
  <w:style w:type="character" w:customStyle="1" w:styleId="TANChar">
    <w:name w:val="TAN Char"/>
    <w:link w:val="TAN"/>
    <w:rsid w:val="00DC6358"/>
    <w:rPr>
      <w:rFonts w:ascii="Arial" w:hAnsi="Arial"/>
      <w:sz w:val="18"/>
      <w:lang w:eastAsia="en-US"/>
    </w:rPr>
  </w:style>
  <w:style w:type="paragraph" w:styleId="BodyText">
    <w:name w:val="Body Text"/>
    <w:basedOn w:val="Normal"/>
    <w:link w:val="BodyTextChar"/>
    <w:uiPriority w:val="1"/>
    <w:qFormat/>
    <w:rsid w:val="00DC6358"/>
    <w:pPr>
      <w:widowControl w:val="0"/>
      <w:autoSpaceDE w:val="0"/>
      <w:autoSpaceDN w:val="0"/>
      <w:spacing w:after="0"/>
    </w:pPr>
    <w:rPr>
      <w:sz w:val="14"/>
      <w:szCs w:val="14"/>
      <w:lang w:val="en-US"/>
    </w:rPr>
  </w:style>
  <w:style w:type="character" w:customStyle="1" w:styleId="BodyTextChar">
    <w:name w:val="Body Text Char"/>
    <w:basedOn w:val="DefaultParagraphFont"/>
    <w:link w:val="BodyText"/>
    <w:uiPriority w:val="1"/>
    <w:rsid w:val="00DC6358"/>
    <w:rPr>
      <w:sz w:val="14"/>
      <w:szCs w:val="14"/>
      <w:lang w:val="en-US" w:eastAsia="en-US"/>
    </w:rPr>
  </w:style>
  <w:style w:type="paragraph" w:customStyle="1" w:styleId="TableParagraph">
    <w:name w:val="Table Paragraph"/>
    <w:basedOn w:val="Normal"/>
    <w:uiPriority w:val="1"/>
    <w:qFormat/>
    <w:rsid w:val="00DC6358"/>
    <w:pPr>
      <w:widowControl w:val="0"/>
      <w:autoSpaceDE w:val="0"/>
      <w:autoSpaceDN w:val="0"/>
      <w:spacing w:after="0"/>
    </w:pPr>
    <w:rPr>
      <w:sz w:val="22"/>
      <w:szCs w:val="22"/>
      <w:lang w:val="en-US"/>
    </w:rPr>
  </w:style>
  <w:style w:type="character" w:customStyle="1" w:styleId="CRCoverPageChar">
    <w:name w:val="CR Cover Page Char"/>
    <w:link w:val="CRCoverPage"/>
    <w:qFormat/>
    <w:rsid w:val="00DC6358"/>
    <w:rPr>
      <w:rFonts w:ascii="Arial" w:hAnsi="Arial"/>
    </w:rPr>
  </w:style>
  <w:style w:type="paragraph" w:customStyle="1" w:styleId="CRCoverPage">
    <w:name w:val="CR Cover Page"/>
    <w:next w:val="Normal"/>
    <w:link w:val="CRCoverPageChar"/>
    <w:qFormat/>
    <w:rsid w:val="00DC6358"/>
    <w:pPr>
      <w:spacing w:after="120"/>
    </w:pPr>
    <w:rPr>
      <w:rFonts w:ascii="Arial" w:hAnsi="Arial"/>
    </w:rPr>
  </w:style>
  <w:style w:type="paragraph" w:styleId="Index1">
    <w:name w:val="index 1"/>
    <w:basedOn w:val="Normal"/>
    <w:rsid w:val="00292BEE"/>
    <w:pPr>
      <w:keepLines/>
      <w:overflowPunct w:val="0"/>
      <w:autoSpaceDE w:val="0"/>
      <w:autoSpaceDN w:val="0"/>
      <w:adjustRightInd w:val="0"/>
      <w:spacing w:after="0"/>
      <w:textAlignment w:val="baseline"/>
    </w:pPr>
    <w:rPr>
      <w:lang w:eastAsia="en-GB"/>
    </w:rPr>
  </w:style>
  <w:style w:type="paragraph" w:styleId="ListParagraph">
    <w:name w:val="List Paragraph"/>
    <w:basedOn w:val="Normal"/>
    <w:uiPriority w:val="34"/>
    <w:qFormat/>
    <w:rsid w:val="00FE70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FB546-078C-49A4-A48A-A249C998D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316</TotalTime>
  <Pages>5</Pages>
  <Words>1574</Words>
  <Characters>8974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Onozawa, Hisashi (Nokia - JP/Tokyo)</cp:lastModifiedBy>
  <cp:revision>9</cp:revision>
  <cp:lastPrinted>2019-02-25T14:05:00Z</cp:lastPrinted>
  <dcterms:created xsi:type="dcterms:W3CDTF">2021-03-22T07:54:00Z</dcterms:created>
  <dcterms:modified xsi:type="dcterms:W3CDTF">2021-04-01T15:05:00Z</dcterms:modified>
</cp:coreProperties>
</file>